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58496B" w14:textId="0FC42804" w:rsidR="00475B28" w:rsidRPr="00CD11A8" w:rsidRDefault="003E74AE" w:rsidP="00475B28">
      <w:pPr>
        <w:pStyle w:val="ITEATitle"/>
        <w:rPr>
          <w:lang w:val="en-US"/>
        </w:rPr>
      </w:pPr>
      <w:bookmarkStart w:id="0" w:name="_Toc389043584"/>
      <w:bookmarkStart w:id="1" w:name="_Toc389569494"/>
      <w:bookmarkStart w:id="2" w:name="_GoBack"/>
      <w:bookmarkEnd w:id="2"/>
      <w:r w:rsidRPr="00CD11A8">
        <w:rPr>
          <w:noProof/>
          <w:color w:val="00A651" w:themeColor="accent1"/>
          <w:lang w:val="en-US" w:eastAsia="en-US"/>
        </w:rPr>
        <w:drawing>
          <wp:anchor distT="0" distB="0" distL="114300" distR="114300" simplePos="0" relativeHeight="251659776" behindDoc="0" locked="0" layoutInCell="1" allowOverlap="1" wp14:anchorId="444927D6" wp14:editId="458A1F93">
            <wp:simplePos x="0" y="0"/>
            <wp:positionH relativeFrom="margin">
              <wp:align>right</wp:align>
            </wp:positionH>
            <wp:positionV relativeFrom="page">
              <wp:posOffset>2142667</wp:posOffset>
            </wp:positionV>
            <wp:extent cx="1467293" cy="379109"/>
            <wp:effectExtent l="0" t="0" r="0" b="1905"/>
            <wp:wrapNone/>
            <wp:docPr id="2" name="Picture 2" descr="itea3_templ_base_word-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itea3_templ_base_word-top-2.jpg"/>
                    <pic:cNvPicPr>
                      <a:picLocks noChangeAspect="1"/>
                    </pic:cNvPicPr>
                  </pic:nvPicPr>
                  <pic:blipFill rotWithShape="1">
                    <a:blip r:embed="rId12">
                      <a:extLst>
                        <a:ext uri="{28A0092B-C50C-407E-A947-70E740481C1C}">
                          <a14:useLocalDpi xmlns:a14="http://schemas.microsoft.com/office/drawing/2010/main" val="0"/>
                        </a:ext>
                      </a:extLst>
                    </a:blip>
                    <a:srcRect l="11920" t="28796" r="8432" b="25235"/>
                    <a:stretch/>
                  </pic:blipFill>
                  <pic:spPr>
                    <a:xfrm>
                      <a:off x="0" y="0"/>
                      <a:ext cx="1467293" cy="379109"/>
                    </a:xfrm>
                    <a:prstGeom prst="rect">
                      <a:avLst/>
                    </a:prstGeom>
                  </pic:spPr>
                </pic:pic>
              </a:graphicData>
            </a:graphic>
          </wp:anchor>
        </w:drawing>
      </w:r>
      <w:r w:rsidR="00DC7998">
        <w:rPr>
          <w:lang w:val="en-US"/>
        </w:rPr>
        <w:t xml:space="preserve"> </w:t>
      </w:r>
      <w:r w:rsidR="006074AF">
        <w:rPr>
          <w:lang w:val="en-US"/>
        </w:rPr>
        <w:t xml:space="preserve"> </w:t>
      </w:r>
      <w:r w:rsidR="00301314" w:rsidRPr="00CD11A8">
        <w:rPr>
          <w:noProof/>
          <w:lang w:val="en-US" w:eastAsia="en-US"/>
        </w:rPr>
        <w:drawing>
          <wp:inline distT="0" distB="0" distL="0" distR="0" wp14:anchorId="5EEA1448" wp14:editId="5518EBBE">
            <wp:extent cx="2152650" cy="122872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31898" t="40608" r="7011" b="27451"/>
                    <a:stretch/>
                  </pic:blipFill>
                  <pic:spPr bwMode="auto">
                    <a:xfrm>
                      <a:off x="0" y="0"/>
                      <a:ext cx="2152650" cy="1228725"/>
                    </a:xfrm>
                    <a:prstGeom prst="rect">
                      <a:avLst/>
                    </a:prstGeom>
                    <a:noFill/>
                    <a:ln>
                      <a:noFill/>
                    </a:ln>
                    <a:extLst>
                      <a:ext uri="{53640926-AAD7-44d8-BBD7-CCE9431645EC}">
                        <a14:shadowObscured xmlns:a14="http://schemas.microsoft.com/office/drawing/2010/main"/>
                      </a:ext>
                    </a:extLst>
                  </pic:spPr>
                </pic:pic>
              </a:graphicData>
            </a:graphic>
          </wp:inline>
        </w:drawing>
      </w:r>
    </w:p>
    <w:p w14:paraId="530543F8" w14:textId="77777777" w:rsidR="00475B28" w:rsidRPr="00CD11A8" w:rsidRDefault="008727B9" w:rsidP="00ED193F">
      <w:pPr>
        <w:pStyle w:val="ITEASubTitle"/>
        <w:rPr>
          <w:color w:val="808080" w:themeColor="background1" w:themeShade="80"/>
          <w:lang w:val="en-US"/>
        </w:rPr>
      </w:pPr>
      <w:r w:rsidRPr="008727B9">
        <w:rPr>
          <w:color w:val="808080" w:themeColor="background1" w:themeShade="80"/>
          <w:lang w:val="en-US"/>
        </w:rPr>
        <w:t>Affordable Safe &amp; Secure Mobility Evolution</w:t>
      </w:r>
    </w:p>
    <w:p w14:paraId="0C0D607B" w14:textId="77777777" w:rsidR="00475B28" w:rsidRPr="00CD11A8" w:rsidRDefault="00475B28" w:rsidP="00475B28">
      <w:pPr>
        <w:pStyle w:val="NoSpacing"/>
        <w:pBdr>
          <w:bottom w:val="single" w:sz="4" w:space="1" w:color="00A651" w:themeColor="accent1"/>
        </w:pBdr>
        <w:spacing w:line="240" w:lineRule="auto"/>
        <w:rPr>
          <w:sz w:val="10"/>
          <w:szCs w:val="2"/>
          <w:lang w:val="en-US"/>
        </w:rPr>
      </w:pPr>
    </w:p>
    <w:p w14:paraId="783B0AEC" w14:textId="77777777" w:rsidR="00475B28" w:rsidRPr="00CD11A8" w:rsidRDefault="00475B28" w:rsidP="00475B28">
      <w:pPr>
        <w:pStyle w:val="NoSpacing"/>
        <w:rPr>
          <w:lang w:val="en-US"/>
        </w:rPr>
      </w:pPr>
    </w:p>
    <w:p w14:paraId="0C1F0170" w14:textId="5BA3836D" w:rsidR="00E97472" w:rsidRDefault="009F5E1E" w:rsidP="007A05E4">
      <w:pPr>
        <w:pStyle w:val="ASSUMEDeliverableTitle"/>
      </w:pPr>
      <w:r>
        <w:t>Synthesis m</w:t>
      </w:r>
      <w:r w:rsidR="00E97472">
        <w:t>ethodology</w:t>
      </w:r>
      <w:r w:rsidR="00E478FB">
        <w:t xml:space="preserve"> (final version)</w:t>
      </w:r>
    </w:p>
    <w:p w14:paraId="1C86E95A" w14:textId="77777777" w:rsidR="00E97472" w:rsidRDefault="00E97472" w:rsidP="00E97472">
      <w:pPr>
        <w:pStyle w:val="ITEABodyText"/>
        <w:rPr>
          <w:color w:val="008000"/>
          <w:sz w:val="28"/>
          <w:szCs w:val="28"/>
        </w:rPr>
      </w:pPr>
      <w:r w:rsidRPr="00E97472">
        <w:rPr>
          <w:color w:val="008000"/>
          <w:sz w:val="28"/>
          <w:szCs w:val="28"/>
        </w:rPr>
        <w:t>Ind</w:t>
      </w:r>
      <w:r>
        <w:rPr>
          <w:color w:val="008000"/>
          <w:sz w:val="28"/>
          <w:szCs w:val="28"/>
        </w:rPr>
        <w:t>ustrial requirements analysis</w:t>
      </w:r>
    </w:p>
    <w:p w14:paraId="7EB2D5FE" w14:textId="77777777" w:rsidR="00E97472" w:rsidRDefault="00E97472" w:rsidP="00E97472">
      <w:pPr>
        <w:pStyle w:val="ITEABodyText"/>
        <w:rPr>
          <w:color w:val="008000"/>
          <w:sz w:val="28"/>
          <w:szCs w:val="28"/>
        </w:rPr>
      </w:pPr>
      <w:r>
        <w:rPr>
          <w:color w:val="008000"/>
          <w:sz w:val="28"/>
          <w:szCs w:val="28"/>
        </w:rPr>
        <w:t>D</w:t>
      </w:r>
      <w:r w:rsidRPr="00E97472">
        <w:rPr>
          <w:color w:val="008000"/>
          <w:sz w:val="28"/>
          <w:szCs w:val="28"/>
        </w:rPr>
        <w:t>efinition of desired t</w:t>
      </w:r>
      <w:r>
        <w:rPr>
          <w:color w:val="008000"/>
          <w:sz w:val="28"/>
          <w:szCs w:val="28"/>
        </w:rPr>
        <w:t>ool extensions and tool flows</w:t>
      </w:r>
    </w:p>
    <w:p w14:paraId="2DC8693C" w14:textId="77777777" w:rsidR="007A05E4" w:rsidRPr="00E97472" w:rsidRDefault="00E97472" w:rsidP="00E97472">
      <w:pPr>
        <w:pStyle w:val="ITEABodyText"/>
        <w:rPr>
          <w:color w:val="008000"/>
          <w:sz w:val="28"/>
          <w:szCs w:val="28"/>
        </w:rPr>
      </w:pPr>
      <w:r>
        <w:rPr>
          <w:color w:val="008000"/>
          <w:sz w:val="28"/>
          <w:szCs w:val="28"/>
        </w:rPr>
        <w:t>I</w:t>
      </w:r>
      <w:r w:rsidRPr="00E97472">
        <w:rPr>
          <w:color w:val="008000"/>
          <w:sz w:val="28"/>
          <w:szCs w:val="28"/>
        </w:rPr>
        <w:t>nterface definitions</w:t>
      </w:r>
    </w:p>
    <w:p w14:paraId="7C79F54A" w14:textId="77777777" w:rsidR="00FF0704" w:rsidRDefault="00FF0704" w:rsidP="00497588">
      <w:pPr>
        <w:pStyle w:val="ITEASubTitle"/>
        <w:rPr>
          <w:lang w:val="en-US"/>
        </w:rPr>
      </w:pPr>
    </w:p>
    <w:p w14:paraId="6DC4178F" w14:textId="2AF5DAAB" w:rsidR="00ED193F" w:rsidRPr="00CD11A8" w:rsidRDefault="008727B9" w:rsidP="00497588">
      <w:pPr>
        <w:pStyle w:val="ITEASubTitle"/>
        <w:rPr>
          <w:lang w:val="en-US"/>
        </w:rPr>
      </w:pPr>
      <w:r w:rsidRPr="008727B9">
        <w:rPr>
          <w:lang w:val="en-US"/>
        </w:rPr>
        <w:t xml:space="preserve">Deliverable </w:t>
      </w:r>
      <w:r w:rsidR="00E97472">
        <w:rPr>
          <w:lang w:val="en-US"/>
        </w:rPr>
        <w:t>D4.</w:t>
      </w:r>
      <w:r w:rsidR="00DC7998">
        <w:rPr>
          <w:lang w:val="en-US"/>
        </w:rPr>
        <w:t>3</w:t>
      </w:r>
      <w:r w:rsidR="009F5E1E">
        <w:rPr>
          <w:lang w:val="en-US"/>
        </w:rPr>
        <w:t>b</w:t>
      </w:r>
    </w:p>
    <w:p w14:paraId="16C8B692" w14:textId="77777777" w:rsidR="00ED193F" w:rsidRPr="00CD11A8" w:rsidRDefault="00ED193F" w:rsidP="00ED193F">
      <w:pPr>
        <w:pStyle w:val="NormalIndent"/>
        <w:spacing w:before="60" w:after="0"/>
        <w:jc w:val="left"/>
        <w:rPr>
          <w:lang w:val="en-US"/>
        </w:rPr>
      </w:pPr>
    </w:p>
    <w:p w14:paraId="2D10CEFD" w14:textId="77777777" w:rsidR="00ED193F" w:rsidRPr="00CD11A8" w:rsidRDefault="00ED193F" w:rsidP="00ED193F">
      <w:pPr>
        <w:pStyle w:val="NormalIndent"/>
        <w:spacing w:before="60" w:after="0"/>
        <w:jc w:val="left"/>
        <w:rPr>
          <w:lang w:val="en-US"/>
        </w:rPr>
      </w:pPr>
    </w:p>
    <w:p w14:paraId="78E1927A" w14:textId="77777777" w:rsidR="00ED193F" w:rsidRPr="00CD11A8" w:rsidRDefault="00ED193F" w:rsidP="00ED193F">
      <w:pPr>
        <w:pStyle w:val="NormalIndent"/>
        <w:spacing w:before="60" w:after="0"/>
        <w:jc w:val="left"/>
        <w:rPr>
          <w:lang w:val="en-US"/>
        </w:rPr>
      </w:pPr>
    </w:p>
    <w:p w14:paraId="00BD58F8" w14:textId="77777777" w:rsidR="00ED193F" w:rsidRPr="009002EE" w:rsidRDefault="00ED193F" w:rsidP="00ED193F">
      <w:pPr>
        <w:pStyle w:val="NormalIndent"/>
        <w:spacing w:before="60" w:after="0"/>
        <w:jc w:val="left"/>
        <w:rPr>
          <w:lang w:val="en-US"/>
        </w:rPr>
      </w:pPr>
    </w:p>
    <w:p w14:paraId="7B0AE54D" w14:textId="77777777" w:rsidR="00ED193F" w:rsidRPr="00CD11A8" w:rsidRDefault="00ED193F" w:rsidP="00ED193F">
      <w:pPr>
        <w:pStyle w:val="NormalIndent"/>
        <w:spacing w:before="60" w:after="0"/>
        <w:jc w:val="left"/>
        <w:rPr>
          <w:lang w:val="en-US"/>
        </w:rPr>
      </w:pPr>
    </w:p>
    <w:p w14:paraId="6C0BB88D" w14:textId="77777777" w:rsidR="00ED193F" w:rsidRPr="00CD11A8" w:rsidRDefault="00ED193F" w:rsidP="00ED193F">
      <w:pPr>
        <w:pStyle w:val="NormalIndent"/>
        <w:spacing w:before="60" w:after="0"/>
        <w:jc w:val="left"/>
        <w:rPr>
          <w:lang w:val="en-US"/>
        </w:rPr>
      </w:pPr>
    </w:p>
    <w:p w14:paraId="18B3EF16" w14:textId="77777777" w:rsidR="00ED193F" w:rsidRPr="00CD11A8" w:rsidRDefault="00ED193F" w:rsidP="00ED193F">
      <w:pPr>
        <w:pStyle w:val="NormalIndent"/>
        <w:spacing w:before="60" w:after="0"/>
        <w:jc w:val="left"/>
        <w:rPr>
          <w:lang w:val="en-US"/>
        </w:rPr>
      </w:pPr>
    </w:p>
    <w:tbl>
      <w:tblPr>
        <w:tblW w:w="9720" w:type="dxa"/>
        <w:tblInd w:w="26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80"/>
        <w:gridCol w:w="2150"/>
        <w:gridCol w:w="1980"/>
        <w:gridCol w:w="3610"/>
      </w:tblGrid>
      <w:tr w:rsidR="00FF0704" w:rsidRPr="006B68A5" w14:paraId="61A9A76A" w14:textId="77777777" w:rsidTr="00AD4350">
        <w:tc>
          <w:tcPr>
            <w:tcW w:w="9720" w:type="dxa"/>
            <w:gridSpan w:val="4"/>
            <w:shd w:val="clear" w:color="auto" w:fill="D9D9D9"/>
            <w:tcMar>
              <w:left w:w="85" w:type="dxa"/>
              <w:right w:w="85" w:type="dxa"/>
            </w:tcMar>
          </w:tcPr>
          <w:p w14:paraId="49E7EE31" w14:textId="77777777" w:rsidR="00FF0704" w:rsidRPr="006B68A5" w:rsidRDefault="00FF0704" w:rsidP="00AD4350">
            <w:pPr>
              <w:pStyle w:val="Title1"/>
              <w:spacing w:before="60" w:after="60"/>
              <w:jc w:val="center"/>
              <w:rPr>
                <w:b w:val="0"/>
                <w:sz w:val="20"/>
              </w:rPr>
            </w:pPr>
            <w:r w:rsidRPr="006B68A5">
              <w:rPr>
                <w:sz w:val="20"/>
              </w:rPr>
              <w:t>Deliverable</w:t>
            </w:r>
            <w:r>
              <w:rPr>
                <w:sz w:val="20"/>
              </w:rPr>
              <w:t xml:space="preserve"> Information</w:t>
            </w:r>
          </w:p>
        </w:tc>
      </w:tr>
      <w:tr w:rsidR="00FF0704" w:rsidRPr="005A1EB0" w14:paraId="1ACDCF1E" w14:textId="77777777" w:rsidTr="00AD4350">
        <w:tc>
          <w:tcPr>
            <w:tcW w:w="1980" w:type="dxa"/>
            <w:shd w:val="clear" w:color="auto" w:fill="auto"/>
            <w:tcMar>
              <w:left w:w="85" w:type="dxa"/>
              <w:right w:w="85" w:type="dxa"/>
            </w:tcMar>
          </w:tcPr>
          <w:p w14:paraId="448870A3" w14:textId="77777777" w:rsidR="00FF0704" w:rsidRPr="006B68A5" w:rsidRDefault="00FF0704" w:rsidP="00AD4350">
            <w:pPr>
              <w:pStyle w:val="Title1"/>
              <w:spacing w:before="60" w:after="60"/>
              <w:rPr>
                <w:sz w:val="20"/>
              </w:rPr>
            </w:pPr>
            <w:r>
              <w:rPr>
                <w:sz w:val="20"/>
              </w:rPr>
              <w:t>Nature</w:t>
            </w:r>
          </w:p>
        </w:tc>
        <w:tc>
          <w:tcPr>
            <w:tcW w:w="2150" w:type="dxa"/>
            <w:tcBorders>
              <w:top w:val="single" w:sz="6" w:space="0" w:color="000000"/>
            </w:tcBorders>
            <w:shd w:val="clear" w:color="auto" w:fill="auto"/>
            <w:tcMar>
              <w:left w:w="85" w:type="dxa"/>
              <w:right w:w="85" w:type="dxa"/>
            </w:tcMar>
          </w:tcPr>
          <w:p w14:paraId="415602F8" w14:textId="77777777" w:rsidR="00FF0704" w:rsidRPr="006A5E7E" w:rsidRDefault="00FF0704" w:rsidP="00AD4350">
            <w:pPr>
              <w:pStyle w:val="Title1"/>
              <w:spacing w:before="60" w:after="60"/>
              <w:jc w:val="center"/>
              <w:rPr>
                <w:b w:val="0"/>
                <w:sz w:val="20"/>
              </w:rPr>
            </w:pPr>
            <w:r>
              <w:rPr>
                <w:b w:val="0"/>
                <w:sz w:val="20"/>
              </w:rPr>
              <w:t>Document</w:t>
            </w:r>
          </w:p>
        </w:tc>
        <w:tc>
          <w:tcPr>
            <w:tcW w:w="1980" w:type="dxa"/>
            <w:tcBorders>
              <w:top w:val="single" w:sz="6" w:space="0" w:color="000000"/>
            </w:tcBorders>
            <w:shd w:val="clear" w:color="auto" w:fill="auto"/>
            <w:tcMar>
              <w:left w:w="85" w:type="dxa"/>
              <w:right w:w="85" w:type="dxa"/>
            </w:tcMar>
          </w:tcPr>
          <w:p w14:paraId="1BBCB133" w14:textId="77777777" w:rsidR="00FF0704" w:rsidRPr="006B68A5" w:rsidRDefault="00FF0704" w:rsidP="00AD4350">
            <w:pPr>
              <w:pStyle w:val="Title1"/>
              <w:spacing w:before="60" w:after="60"/>
              <w:rPr>
                <w:sz w:val="20"/>
              </w:rPr>
            </w:pPr>
            <w:r>
              <w:rPr>
                <w:sz w:val="20"/>
              </w:rPr>
              <w:t>Dissemination Level</w:t>
            </w:r>
          </w:p>
        </w:tc>
        <w:tc>
          <w:tcPr>
            <w:tcW w:w="3610" w:type="dxa"/>
            <w:tcBorders>
              <w:top w:val="single" w:sz="6" w:space="0" w:color="000000"/>
            </w:tcBorders>
            <w:shd w:val="clear" w:color="auto" w:fill="auto"/>
            <w:tcMar>
              <w:left w:w="85" w:type="dxa"/>
              <w:right w:w="85" w:type="dxa"/>
            </w:tcMar>
          </w:tcPr>
          <w:p w14:paraId="30E6A17C" w14:textId="77777777" w:rsidR="00FF0704" w:rsidRPr="00497588" w:rsidRDefault="00FF0704" w:rsidP="00AD4350">
            <w:pPr>
              <w:pStyle w:val="Title1"/>
              <w:spacing w:before="60" w:after="60"/>
              <w:jc w:val="center"/>
              <w:rPr>
                <w:b w:val="0"/>
                <w:sz w:val="20"/>
              </w:rPr>
            </w:pPr>
            <w:r>
              <w:rPr>
                <w:b w:val="0"/>
                <w:sz w:val="20"/>
              </w:rPr>
              <w:t>Public</w:t>
            </w:r>
          </w:p>
        </w:tc>
      </w:tr>
      <w:tr w:rsidR="00FF0704" w:rsidRPr="006B68A5" w14:paraId="451FAE15" w14:textId="77777777" w:rsidTr="00AD4350">
        <w:tc>
          <w:tcPr>
            <w:tcW w:w="1980" w:type="dxa"/>
            <w:shd w:val="clear" w:color="auto" w:fill="auto"/>
            <w:tcMar>
              <w:left w:w="85" w:type="dxa"/>
              <w:right w:w="85" w:type="dxa"/>
            </w:tcMar>
          </w:tcPr>
          <w:p w14:paraId="648F66CC" w14:textId="77777777" w:rsidR="00FF0704" w:rsidRPr="006B68A5" w:rsidRDefault="00FF0704" w:rsidP="00AD4350">
            <w:pPr>
              <w:pStyle w:val="Title1"/>
              <w:spacing w:before="60" w:after="60"/>
              <w:rPr>
                <w:sz w:val="20"/>
              </w:rPr>
            </w:pPr>
            <w:r w:rsidRPr="006B68A5">
              <w:rPr>
                <w:sz w:val="20"/>
              </w:rPr>
              <w:t>Project</w:t>
            </w:r>
          </w:p>
        </w:tc>
        <w:tc>
          <w:tcPr>
            <w:tcW w:w="2150" w:type="dxa"/>
            <w:tcBorders>
              <w:top w:val="single" w:sz="6" w:space="0" w:color="000000"/>
            </w:tcBorders>
            <w:shd w:val="clear" w:color="auto" w:fill="auto"/>
            <w:tcMar>
              <w:left w:w="85" w:type="dxa"/>
              <w:right w:w="85" w:type="dxa"/>
            </w:tcMar>
          </w:tcPr>
          <w:p w14:paraId="6C678316" w14:textId="77777777" w:rsidR="00FF0704" w:rsidRPr="006A5E7E" w:rsidRDefault="00FF0704" w:rsidP="00AD4350">
            <w:pPr>
              <w:pStyle w:val="Title1"/>
              <w:spacing w:before="60" w:after="60"/>
              <w:jc w:val="center"/>
              <w:rPr>
                <w:b w:val="0"/>
                <w:sz w:val="20"/>
              </w:rPr>
            </w:pPr>
            <w:r w:rsidRPr="006A5E7E">
              <w:rPr>
                <w:b w:val="0"/>
                <w:sz w:val="20"/>
              </w:rPr>
              <w:t>ASSUME</w:t>
            </w:r>
          </w:p>
        </w:tc>
        <w:tc>
          <w:tcPr>
            <w:tcW w:w="1980" w:type="dxa"/>
            <w:tcBorders>
              <w:top w:val="single" w:sz="6" w:space="0" w:color="000000"/>
            </w:tcBorders>
            <w:shd w:val="clear" w:color="auto" w:fill="auto"/>
            <w:tcMar>
              <w:left w:w="85" w:type="dxa"/>
              <w:right w:w="85" w:type="dxa"/>
            </w:tcMar>
          </w:tcPr>
          <w:p w14:paraId="5A1CE12C" w14:textId="77777777" w:rsidR="00FF0704" w:rsidRPr="006B68A5" w:rsidRDefault="00FF0704" w:rsidP="00AD4350">
            <w:pPr>
              <w:pStyle w:val="Title1"/>
              <w:spacing w:before="60" w:after="60"/>
              <w:rPr>
                <w:sz w:val="20"/>
              </w:rPr>
            </w:pPr>
            <w:r>
              <w:rPr>
                <w:sz w:val="20"/>
              </w:rPr>
              <w:t>Project</w:t>
            </w:r>
            <w:r w:rsidRPr="006B68A5">
              <w:rPr>
                <w:sz w:val="20"/>
              </w:rPr>
              <w:t xml:space="preserve"> Number</w:t>
            </w:r>
          </w:p>
        </w:tc>
        <w:tc>
          <w:tcPr>
            <w:tcW w:w="3610" w:type="dxa"/>
            <w:tcBorders>
              <w:top w:val="single" w:sz="6" w:space="0" w:color="000000"/>
            </w:tcBorders>
            <w:shd w:val="clear" w:color="auto" w:fill="auto"/>
            <w:tcMar>
              <w:left w:w="85" w:type="dxa"/>
              <w:right w:w="85" w:type="dxa"/>
            </w:tcMar>
          </w:tcPr>
          <w:p w14:paraId="20F72A54" w14:textId="77777777" w:rsidR="00FF0704" w:rsidRPr="006B68A5" w:rsidRDefault="00FF0704" w:rsidP="00AD4350">
            <w:pPr>
              <w:pStyle w:val="Title1"/>
              <w:spacing w:before="60" w:after="60"/>
              <w:jc w:val="center"/>
              <w:rPr>
                <w:b w:val="0"/>
                <w:sz w:val="20"/>
              </w:rPr>
            </w:pPr>
            <w:r>
              <w:rPr>
                <w:b w:val="0"/>
                <w:sz w:val="20"/>
              </w:rPr>
              <w:t>14014</w:t>
            </w:r>
          </w:p>
        </w:tc>
      </w:tr>
      <w:tr w:rsidR="00FF0704" w:rsidRPr="006B68A5" w14:paraId="58C401BB" w14:textId="77777777" w:rsidTr="00AD4350">
        <w:tc>
          <w:tcPr>
            <w:tcW w:w="1980" w:type="dxa"/>
            <w:shd w:val="clear" w:color="auto" w:fill="auto"/>
            <w:tcMar>
              <w:left w:w="85" w:type="dxa"/>
              <w:right w:w="85" w:type="dxa"/>
            </w:tcMar>
          </w:tcPr>
          <w:p w14:paraId="6B66461A" w14:textId="77777777" w:rsidR="00FF0704" w:rsidRPr="006B68A5" w:rsidRDefault="00FF0704" w:rsidP="00AD4350">
            <w:pPr>
              <w:pStyle w:val="Title1"/>
              <w:spacing w:before="60" w:after="60"/>
              <w:rPr>
                <w:sz w:val="20"/>
              </w:rPr>
            </w:pPr>
            <w:r>
              <w:rPr>
                <w:sz w:val="20"/>
              </w:rPr>
              <w:t>Deliverable ID</w:t>
            </w:r>
          </w:p>
        </w:tc>
        <w:tc>
          <w:tcPr>
            <w:tcW w:w="2150" w:type="dxa"/>
            <w:shd w:val="clear" w:color="auto" w:fill="auto"/>
          </w:tcPr>
          <w:p w14:paraId="4D9C318E" w14:textId="02204D00" w:rsidR="00FF0704" w:rsidRPr="006A5E7E" w:rsidRDefault="00FF0704" w:rsidP="001C59D5">
            <w:pPr>
              <w:pStyle w:val="Title2"/>
              <w:spacing w:before="60" w:after="0"/>
              <w:jc w:val="center"/>
              <w:rPr>
                <w:sz w:val="20"/>
              </w:rPr>
            </w:pPr>
            <w:r>
              <w:rPr>
                <w:sz w:val="20"/>
              </w:rPr>
              <w:t>D4.</w:t>
            </w:r>
            <w:r w:rsidR="005F57FD">
              <w:rPr>
                <w:sz w:val="20"/>
              </w:rPr>
              <w:t>3a</w:t>
            </w:r>
          </w:p>
        </w:tc>
        <w:tc>
          <w:tcPr>
            <w:tcW w:w="1980" w:type="dxa"/>
            <w:shd w:val="clear" w:color="auto" w:fill="auto"/>
          </w:tcPr>
          <w:p w14:paraId="7C25F3D1" w14:textId="77777777" w:rsidR="00FF0704" w:rsidRPr="006B68A5" w:rsidRDefault="00FF0704" w:rsidP="00AD4350">
            <w:pPr>
              <w:pStyle w:val="Title1"/>
              <w:spacing w:before="60" w:after="60"/>
              <w:rPr>
                <w:sz w:val="20"/>
              </w:rPr>
            </w:pPr>
            <w:r w:rsidRPr="006B68A5">
              <w:rPr>
                <w:sz w:val="20"/>
              </w:rPr>
              <w:t>Date</w:t>
            </w:r>
          </w:p>
        </w:tc>
        <w:tc>
          <w:tcPr>
            <w:tcW w:w="3610" w:type="dxa"/>
            <w:shd w:val="clear" w:color="auto" w:fill="auto"/>
            <w:tcMar>
              <w:left w:w="0" w:type="dxa"/>
              <w:right w:w="85" w:type="dxa"/>
            </w:tcMar>
          </w:tcPr>
          <w:p w14:paraId="570793F5" w14:textId="4C997B81" w:rsidR="00FF0704" w:rsidRPr="00497588" w:rsidRDefault="00E478FB" w:rsidP="00F4274E">
            <w:pPr>
              <w:pStyle w:val="Title1"/>
              <w:spacing w:before="60" w:after="60"/>
              <w:jc w:val="center"/>
              <w:rPr>
                <w:b w:val="0"/>
                <w:sz w:val="20"/>
              </w:rPr>
            </w:pPr>
            <w:r>
              <w:rPr>
                <w:b w:val="0"/>
                <w:sz w:val="20"/>
              </w:rPr>
              <w:t>04.09.2018</w:t>
            </w:r>
          </w:p>
        </w:tc>
      </w:tr>
      <w:tr w:rsidR="00FF0704" w:rsidRPr="005A1EB0" w14:paraId="049BF185" w14:textId="77777777" w:rsidTr="00AD4350">
        <w:tc>
          <w:tcPr>
            <w:tcW w:w="1980" w:type="dxa"/>
            <w:shd w:val="clear" w:color="auto" w:fill="auto"/>
            <w:tcMar>
              <w:left w:w="85" w:type="dxa"/>
              <w:right w:w="85" w:type="dxa"/>
            </w:tcMar>
          </w:tcPr>
          <w:p w14:paraId="72835A11" w14:textId="77777777" w:rsidR="00FF0704" w:rsidRPr="006B68A5" w:rsidRDefault="00FF0704" w:rsidP="00AD4350">
            <w:pPr>
              <w:pStyle w:val="Title1"/>
              <w:spacing w:before="60" w:after="60"/>
              <w:rPr>
                <w:sz w:val="20"/>
              </w:rPr>
            </w:pPr>
            <w:r w:rsidRPr="006B68A5">
              <w:rPr>
                <w:sz w:val="20"/>
              </w:rPr>
              <w:t>Status</w:t>
            </w:r>
          </w:p>
        </w:tc>
        <w:tc>
          <w:tcPr>
            <w:tcW w:w="2150" w:type="dxa"/>
            <w:shd w:val="clear" w:color="auto" w:fill="auto"/>
            <w:tcMar>
              <w:left w:w="85" w:type="dxa"/>
              <w:right w:w="85" w:type="dxa"/>
            </w:tcMar>
          </w:tcPr>
          <w:p w14:paraId="34233709" w14:textId="5089BE0F" w:rsidR="00FF0704" w:rsidRPr="009002EE" w:rsidRDefault="001E7785" w:rsidP="001E7785">
            <w:pPr>
              <w:pStyle w:val="Title1"/>
              <w:spacing w:before="60" w:after="60"/>
              <w:jc w:val="center"/>
              <w:rPr>
                <w:b w:val="0"/>
                <w:sz w:val="20"/>
              </w:rPr>
            </w:pPr>
            <w:r>
              <w:rPr>
                <w:b w:val="0"/>
                <w:sz w:val="20"/>
              </w:rPr>
              <w:t>Final</w:t>
            </w:r>
          </w:p>
        </w:tc>
        <w:tc>
          <w:tcPr>
            <w:tcW w:w="1980" w:type="dxa"/>
            <w:shd w:val="clear" w:color="auto" w:fill="auto"/>
            <w:tcMar>
              <w:left w:w="85" w:type="dxa"/>
              <w:right w:w="85" w:type="dxa"/>
            </w:tcMar>
          </w:tcPr>
          <w:p w14:paraId="46032DA9" w14:textId="77777777" w:rsidR="00FF0704" w:rsidRPr="006B68A5" w:rsidRDefault="00FF0704" w:rsidP="00AD4350">
            <w:pPr>
              <w:pStyle w:val="Title1"/>
              <w:spacing w:before="60" w:after="60"/>
              <w:rPr>
                <w:sz w:val="20"/>
              </w:rPr>
            </w:pPr>
            <w:r w:rsidRPr="006B68A5">
              <w:rPr>
                <w:sz w:val="20"/>
              </w:rPr>
              <w:t>Version</w:t>
            </w:r>
          </w:p>
        </w:tc>
        <w:tc>
          <w:tcPr>
            <w:tcW w:w="3610" w:type="dxa"/>
            <w:shd w:val="clear" w:color="auto" w:fill="auto"/>
            <w:tcMar>
              <w:left w:w="85" w:type="dxa"/>
              <w:right w:w="85" w:type="dxa"/>
            </w:tcMar>
          </w:tcPr>
          <w:p w14:paraId="02FB7AA0" w14:textId="2995CBBC" w:rsidR="00FF0704" w:rsidRPr="009002EE" w:rsidRDefault="001E7785" w:rsidP="001E7785">
            <w:pPr>
              <w:pStyle w:val="Title1"/>
              <w:spacing w:before="60" w:after="60"/>
              <w:jc w:val="center"/>
              <w:rPr>
                <w:b w:val="0"/>
                <w:sz w:val="20"/>
              </w:rPr>
            </w:pPr>
            <w:r>
              <w:rPr>
                <w:b w:val="0"/>
                <w:sz w:val="20"/>
              </w:rPr>
              <w:t>1.0</w:t>
            </w:r>
          </w:p>
        </w:tc>
      </w:tr>
      <w:tr w:rsidR="00FF0704" w:rsidRPr="006B68A5" w14:paraId="325C9C76" w14:textId="77777777" w:rsidTr="00AD4350">
        <w:tc>
          <w:tcPr>
            <w:tcW w:w="1980" w:type="dxa"/>
            <w:shd w:val="clear" w:color="auto" w:fill="auto"/>
            <w:tcMar>
              <w:left w:w="85" w:type="dxa"/>
              <w:right w:w="85" w:type="dxa"/>
            </w:tcMar>
          </w:tcPr>
          <w:p w14:paraId="6D8D20EE" w14:textId="77777777" w:rsidR="00FF0704" w:rsidRPr="006B68A5" w:rsidRDefault="00FF0704" w:rsidP="00AD4350">
            <w:pPr>
              <w:pStyle w:val="Title1"/>
              <w:spacing w:before="60" w:after="60"/>
              <w:rPr>
                <w:sz w:val="20"/>
              </w:rPr>
            </w:pPr>
            <w:r w:rsidRPr="006B68A5">
              <w:rPr>
                <w:sz w:val="20"/>
              </w:rPr>
              <w:t>Contact Person</w:t>
            </w:r>
          </w:p>
        </w:tc>
        <w:tc>
          <w:tcPr>
            <w:tcW w:w="2150" w:type="dxa"/>
            <w:shd w:val="clear" w:color="auto" w:fill="auto"/>
            <w:tcMar>
              <w:left w:w="85" w:type="dxa"/>
              <w:right w:w="85" w:type="dxa"/>
            </w:tcMar>
          </w:tcPr>
          <w:p w14:paraId="5A354256" w14:textId="3723F2C2" w:rsidR="00FF0704" w:rsidRPr="006A5E7E" w:rsidRDefault="00E478FB" w:rsidP="00AD4350">
            <w:pPr>
              <w:pStyle w:val="Title1"/>
              <w:spacing w:before="60" w:after="60"/>
              <w:jc w:val="center"/>
              <w:rPr>
                <w:b w:val="0"/>
                <w:sz w:val="20"/>
              </w:rPr>
            </w:pPr>
            <w:r>
              <w:rPr>
                <w:b w:val="0"/>
                <w:sz w:val="20"/>
              </w:rPr>
              <w:t>Dumitru Potop-Butucaru</w:t>
            </w:r>
          </w:p>
        </w:tc>
        <w:tc>
          <w:tcPr>
            <w:tcW w:w="1980" w:type="dxa"/>
            <w:shd w:val="clear" w:color="auto" w:fill="auto"/>
            <w:tcMar>
              <w:left w:w="85" w:type="dxa"/>
              <w:right w:w="85" w:type="dxa"/>
            </w:tcMar>
          </w:tcPr>
          <w:p w14:paraId="483EBFEC" w14:textId="77777777" w:rsidR="00FF0704" w:rsidRPr="006B68A5" w:rsidRDefault="00FF0704" w:rsidP="00AD4350">
            <w:pPr>
              <w:pStyle w:val="Title1"/>
              <w:spacing w:before="60" w:after="60"/>
              <w:rPr>
                <w:sz w:val="20"/>
              </w:rPr>
            </w:pPr>
            <w:r w:rsidRPr="006B68A5">
              <w:rPr>
                <w:sz w:val="20"/>
              </w:rPr>
              <w:t>Organisation</w:t>
            </w:r>
          </w:p>
        </w:tc>
        <w:tc>
          <w:tcPr>
            <w:tcW w:w="3610" w:type="dxa"/>
            <w:shd w:val="clear" w:color="auto" w:fill="auto"/>
            <w:tcMar>
              <w:left w:w="85" w:type="dxa"/>
              <w:right w:w="85" w:type="dxa"/>
            </w:tcMar>
          </w:tcPr>
          <w:p w14:paraId="2A55A30B" w14:textId="1441BE7B" w:rsidR="00FF0704" w:rsidRPr="006B68A5" w:rsidRDefault="00E478FB" w:rsidP="00AD4350">
            <w:pPr>
              <w:pStyle w:val="Title1"/>
              <w:spacing w:before="60" w:after="60"/>
              <w:jc w:val="center"/>
              <w:rPr>
                <w:b w:val="0"/>
                <w:sz w:val="20"/>
              </w:rPr>
            </w:pPr>
            <w:r>
              <w:rPr>
                <w:b w:val="0"/>
                <w:sz w:val="20"/>
              </w:rPr>
              <w:t>Inria</w:t>
            </w:r>
          </w:p>
        </w:tc>
      </w:tr>
      <w:tr w:rsidR="00BD321C" w:rsidRPr="006B68A5" w14:paraId="224E6222" w14:textId="77777777" w:rsidTr="00AD4350">
        <w:tc>
          <w:tcPr>
            <w:tcW w:w="1980" w:type="dxa"/>
            <w:shd w:val="clear" w:color="auto" w:fill="auto"/>
            <w:tcMar>
              <w:left w:w="85" w:type="dxa"/>
              <w:right w:w="85" w:type="dxa"/>
            </w:tcMar>
          </w:tcPr>
          <w:p w14:paraId="25EB2EF0" w14:textId="77777777" w:rsidR="00BD321C" w:rsidRPr="006B68A5" w:rsidRDefault="00BD321C" w:rsidP="00AD4350">
            <w:pPr>
              <w:pStyle w:val="Title1"/>
              <w:spacing w:before="60" w:after="60"/>
              <w:rPr>
                <w:sz w:val="20"/>
              </w:rPr>
            </w:pPr>
            <w:r w:rsidRPr="006B68A5">
              <w:rPr>
                <w:sz w:val="20"/>
              </w:rPr>
              <w:t>Phone</w:t>
            </w:r>
          </w:p>
        </w:tc>
        <w:tc>
          <w:tcPr>
            <w:tcW w:w="2150" w:type="dxa"/>
            <w:shd w:val="clear" w:color="auto" w:fill="auto"/>
            <w:tcMar>
              <w:left w:w="85" w:type="dxa"/>
              <w:right w:w="85" w:type="dxa"/>
            </w:tcMar>
          </w:tcPr>
          <w:p w14:paraId="4A747F62" w14:textId="3935393E" w:rsidR="00BD321C" w:rsidRPr="006A5E7E" w:rsidRDefault="00367A61" w:rsidP="00AD4350">
            <w:pPr>
              <w:pStyle w:val="Title1"/>
              <w:spacing w:before="60" w:after="60"/>
              <w:jc w:val="center"/>
              <w:rPr>
                <w:b w:val="0"/>
                <w:sz w:val="20"/>
              </w:rPr>
            </w:pPr>
            <w:r>
              <w:t xml:space="preserve"> </w:t>
            </w:r>
            <w:r w:rsidRPr="00367A61">
              <w:rPr>
                <w:b w:val="0"/>
                <w:sz w:val="20"/>
              </w:rPr>
              <w:t>+33-180494010</w:t>
            </w:r>
          </w:p>
        </w:tc>
        <w:tc>
          <w:tcPr>
            <w:tcW w:w="1980" w:type="dxa"/>
            <w:shd w:val="clear" w:color="auto" w:fill="auto"/>
            <w:tcMar>
              <w:left w:w="85" w:type="dxa"/>
              <w:right w:w="85" w:type="dxa"/>
            </w:tcMar>
          </w:tcPr>
          <w:p w14:paraId="7247B667" w14:textId="77777777" w:rsidR="00BD321C" w:rsidRPr="006B68A5" w:rsidRDefault="00BD321C" w:rsidP="00AD4350">
            <w:pPr>
              <w:pStyle w:val="Title1"/>
              <w:spacing w:before="60" w:after="60"/>
              <w:rPr>
                <w:sz w:val="20"/>
              </w:rPr>
            </w:pPr>
            <w:r w:rsidRPr="006B68A5">
              <w:rPr>
                <w:sz w:val="20"/>
              </w:rPr>
              <w:t>E-Mail</w:t>
            </w:r>
          </w:p>
        </w:tc>
        <w:tc>
          <w:tcPr>
            <w:tcW w:w="3610" w:type="dxa"/>
            <w:shd w:val="clear" w:color="auto" w:fill="auto"/>
            <w:tcMar>
              <w:left w:w="85" w:type="dxa"/>
              <w:right w:w="85" w:type="dxa"/>
            </w:tcMar>
          </w:tcPr>
          <w:p w14:paraId="442D8B86" w14:textId="49E1E114" w:rsidR="00BD321C" w:rsidRPr="00930FA7" w:rsidRDefault="00E478FB" w:rsidP="00AD4350">
            <w:pPr>
              <w:pStyle w:val="Title1"/>
              <w:spacing w:before="60" w:after="60"/>
              <w:jc w:val="center"/>
              <w:rPr>
                <w:b w:val="0"/>
                <w:sz w:val="20"/>
                <w:szCs w:val="20"/>
              </w:rPr>
            </w:pPr>
            <w:r>
              <w:rPr>
                <w:sz w:val="20"/>
                <w:szCs w:val="20"/>
                <w:lang w:val="en-US" w:eastAsia="en-US"/>
              </w:rPr>
              <w:t>dumitru.potop@inria.fr</w:t>
            </w:r>
          </w:p>
        </w:tc>
      </w:tr>
    </w:tbl>
    <w:p w14:paraId="34176CA6" w14:textId="77777777" w:rsidR="00AC7133" w:rsidRPr="00CD11A8" w:rsidRDefault="008727B9" w:rsidP="00560A6C">
      <w:pPr>
        <w:pStyle w:val="ITEAHeading0"/>
        <w:rPr>
          <w:lang w:val="en-US"/>
        </w:rPr>
      </w:pPr>
      <w:bookmarkStart w:id="3" w:name="_Toc434578998"/>
      <w:bookmarkStart w:id="4" w:name="_Toc398225036"/>
      <w:bookmarkEnd w:id="0"/>
      <w:bookmarkEnd w:id="1"/>
      <w:r w:rsidRPr="008727B9">
        <w:rPr>
          <w:lang w:val="en-US"/>
        </w:rPr>
        <w:lastRenderedPageBreak/>
        <w:t>Author Table</w:t>
      </w:r>
      <w:bookmarkEnd w:id="3"/>
      <w:bookmarkEnd w:id="4"/>
    </w:p>
    <w:tbl>
      <w:tblPr>
        <w:tblStyle w:val="MediumShading1-Accent2"/>
        <w:tblW w:w="0" w:type="auto"/>
        <w:tblLook w:val="04A0" w:firstRow="1" w:lastRow="0" w:firstColumn="1" w:lastColumn="0" w:noHBand="0" w:noVBand="1"/>
      </w:tblPr>
      <w:tblGrid>
        <w:gridCol w:w="3129"/>
        <w:gridCol w:w="2396"/>
        <w:gridCol w:w="3761"/>
      </w:tblGrid>
      <w:tr w:rsidR="00497588" w:rsidRPr="00CD11A8" w14:paraId="7113625B" w14:textId="77777777" w:rsidTr="008A60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9" w:type="dxa"/>
          </w:tcPr>
          <w:p w14:paraId="01AFDBEC" w14:textId="77777777" w:rsidR="003732D1" w:rsidRPr="00CD11A8" w:rsidRDefault="008727B9" w:rsidP="003732D1">
            <w:pPr>
              <w:pStyle w:val="ITEABodyText"/>
              <w:ind w:left="0" w:right="0"/>
              <w:rPr>
                <w:lang w:val="en-US" w:eastAsia="en-US"/>
              </w:rPr>
            </w:pPr>
            <w:r w:rsidRPr="008727B9">
              <w:rPr>
                <w:lang w:val="en-US" w:eastAsia="en-US"/>
              </w:rPr>
              <w:t>Name</w:t>
            </w:r>
          </w:p>
        </w:tc>
        <w:tc>
          <w:tcPr>
            <w:tcW w:w="2396" w:type="dxa"/>
          </w:tcPr>
          <w:p w14:paraId="5294A860" w14:textId="77777777" w:rsidR="003732D1" w:rsidRPr="00CD11A8" w:rsidRDefault="008727B9" w:rsidP="003732D1">
            <w:pPr>
              <w:pStyle w:val="ITEABodyText"/>
              <w:ind w:left="0" w:right="0"/>
              <w:cnfStyle w:val="100000000000" w:firstRow="1" w:lastRow="0" w:firstColumn="0" w:lastColumn="0" w:oddVBand="0" w:evenVBand="0" w:oddHBand="0" w:evenHBand="0" w:firstRowFirstColumn="0" w:firstRowLastColumn="0" w:lastRowFirstColumn="0" w:lastRowLastColumn="0"/>
              <w:rPr>
                <w:lang w:val="en-US" w:eastAsia="en-US"/>
              </w:rPr>
            </w:pPr>
            <w:r w:rsidRPr="008727B9">
              <w:rPr>
                <w:lang w:val="en-US" w:eastAsia="en-US"/>
              </w:rPr>
              <w:t>Company</w:t>
            </w:r>
          </w:p>
        </w:tc>
        <w:tc>
          <w:tcPr>
            <w:tcW w:w="3761" w:type="dxa"/>
          </w:tcPr>
          <w:p w14:paraId="2C0C5B32" w14:textId="77777777" w:rsidR="003732D1" w:rsidRPr="00CD11A8" w:rsidRDefault="008727B9" w:rsidP="003732D1">
            <w:pPr>
              <w:pStyle w:val="ITEABodyText"/>
              <w:ind w:left="0" w:right="0"/>
              <w:cnfStyle w:val="100000000000" w:firstRow="1" w:lastRow="0" w:firstColumn="0" w:lastColumn="0" w:oddVBand="0" w:evenVBand="0" w:oddHBand="0" w:evenHBand="0" w:firstRowFirstColumn="0" w:firstRowLastColumn="0" w:lastRowFirstColumn="0" w:lastRowLastColumn="0"/>
              <w:rPr>
                <w:lang w:val="en-US" w:eastAsia="en-US"/>
              </w:rPr>
            </w:pPr>
            <w:r w:rsidRPr="008727B9">
              <w:rPr>
                <w:lang w:val="en-US" w:eastAsia="en-US"/>
              </w:rPr>
              <w:t>Email</w:t>
            </w:r>
          </w:p>
        </w:tc>
      </w:tr>
      <w:tr w:rsidR="00497588" w:rsidRPr="00CD11A8" w14:paraId="1D48A4A4" w14:textId="77777777" w:rsidTr="008A60E8">
        <w:tblPrEx>
          <w:tblCellMar>
            <w:top w:w="85" w:type="dxa"/>
            <w:bottom w:w="85"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9" w:type="dxa"/>
          </w:tcPr>
          <w:p w14:paraId="0FB12B0E" w14:textId="77777777" w:rsidR="00276E1F" w:rsidRDefault="00E21134">
            <w:pPr>
              <w:pStyle w:val="ITEABodyText"/>
              <w:ind w:left="0"/>
              <w:rPr>
                <w:lang w:val="en-US" w:eastAsia="en-US"/>
              </w:rPr>
            </w:pPr>
            <w:r>
              <w:rPr>
                <w:lang w:val="en-US" w:eastAsia="en-US"/>
              </w:rPr>
              <w:t>Dumitru Potop Butucaru</w:t>
            </w:r>
          </w:p>
        </w:tc>
        <w:tc>
          <w:tcPr>
            <w:tcW w:w="2396" w:type="dxa"/>
          </w:tcPr>
          <w:p w14:paraId="1ACD8471" w14:textId="77777777" w:rsidR="003732D1" w:rsidRPr="00CD11A8" w:rsidRDefault="00E21134" w:rsidP="00E21134">
            <w:pPr>
              <w:pStyle w:val="ITEABodyText"/>
              <w:tabs>
                <w:tab w:val="left" w:pos="1221"/>
              </w:tabs>
              <w:spacing w:before="0"/>
              <w:ind w:left="0" w:right="0"/>
              <w:cnfStyle w:val="000000100000" w:firstRow="0" w:lastRow="0" w:firstColumn="0" w:lastColumn="0" w:oddVBand="0" w:evenVBand="0" w:oddHBand="1" w:evenHBand="0" w:firstRowFirstColumn="0" w:firstRowLastColumn="0" w:lastRowFirstColumn="0" w:lastRowLastColumn="0"/>
              <w:rPr>
                <w:lang w:val="en-US" w:eastAsia="en-US"/>
              </w:rPr>
            </w:pPr>
            <w:r>
              <w:rPr>
                <w:lang w:val="en-US" w:eastAsia="en-US"/>
              </w:rPr>
              <w:t>Inria</w:t>
            </w:r>
          </w:p>
        </w:tc>
        <w:tc>
          <w:tcPr>
            <w:tcW w:w="3761" w:type="dxa"/>
          </w:tcPr>
          <w:p w14:paraId="595E9A0C" w14:textId="77777777" w:rsidR="003732D1" w:rsidRPr="00CD11A8" w:rsidRDefault="00A36332" w:rsidP="003732D1">
            <w:pPr>
              <w:pStyle w:val="ITEABodyText"/>
              <w:spacing w:before="0"/>
              <w:ind w:left="0" w:right="0"/>
              <w:cnfStyle w:val="000000100000" w:firstRow="0" w:lastRow="0" w:firstColumn="0" w:lastColumn="0" w:oddVBand="0" w:evenVBand="0" w:oddHBand="1" w:evenHBand="0" w:firstRowFirstColumn="0" w:firstRowLastColumn="0" w:lastRowFirstColumn="0" w:lastRowLastColumn="0"/>
              <w:rPr>
                <w:lang w:val="en-US" w:eastAsia="en-US"/>
              </w:rPr>
            </w:pPr>
            <w:r>
              <w:rPr>
                <w:lang w:val="en-US" w:eastAsia="en-US"/>
              </w:rPr>
              <w:t>d</w:t>
            </w:r>
            <w:r w:rsidR="00E21134">
              <w:rPr>
                <w:lang w:val="en-US" w:eastAsia="en-US"/>
              </w:rPr>
              <w:t>umitru.potop@inria.fr</w:t>
            </w:r>
          </w:p>
        </w:tc>
      </w:tr>
      <w:tr w:rsidR="008A60E8" w:rsidRPr="00CD11A8" w14:paraId="7200BCBC" w14:textId="77777777" w:rsidTr="008A60E8">
        <w:tblPrEx>
          <w:tblCellMar>
            <w:top w:w="85" w:type="dxa"/>
            <w:bottom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9" w:type="dxa"/>
          </w:tcPr>
          <w:p w14:paraId="06E0D8BC" w14:textId="77777777" w:rsidR="008A60E8" w:rsidRDefault="00DC6779" w:rsidP="00D51396">
            <w:pPr>
              <w:pStyle w:val="ITEABodyText"/>
              <w:ind w:left="0"/>
              <w:rPr>
                <w:lang w:val="en-US" w:eastAsia="en-US"/>
              </w:rPr>
            </w:pPr>
            <w:r>
              <w:rPr>
                <w:lang w:val="en-US" w:eastAsia="en-US"/>
              </w:rPr>
              <w:t>Gunther Siegel</w:t>
            </w:r>
          </w:p>
        </w:tc>
        <w:tc>
          <w:tcPr>
            <w:tcW w:w="2396" w:type="dxa"/>
          </w:tcPr>
          <w:p w14:paraId="7AE75DC3" w14:textId="3F56440C" w:rsidR="008A60E8" w:rsidRDefault="001E7785" w:rsidP="00D51396">
            <w:pPr>
              <w:pStyle w:val="ITEABodyText"/>
              <w:ind w:left="0"/>
              <w:cnfStyle w:val="000000010000" w:firstRow="0" w:lastRow="0" w:firstColumn="0" w:lastColumn="0" w:oddVBand="0" w:evenVBand="0" w:oddHBand="0" w:evenHBand="1" w:firstRowFirstColumn="0" w:firstRowLastColumn="0" w:lastRowFirstColumn="0" w:lastRowLastColumn="0"/>
              <w:rPr>
                <w:lang w:val="en-US" w:eastAsia="en-US"/>
              </w:rPr>
            </w:pPr>
            <w:r>
              <w:rPr>
                <w:lang w:val="en-US" w:eastAsia="en-US"/>
              </w:rPr>
              <w:t>ESTEREL TECHNOLOGIES</w:t>
            </w:r>
          </w:p>
        </w:tc>
        <w:tc>
          <w:tcPr>
            <w:tcW w:w="3761" w:type="dxa"/>
          </w:tcPr>
          <w:p w14:paraId="19050E42" w14:textId="77777777" w:rsidR="008A60E8" w:rsidRDefault="00DC6779" w:rsidP="00D51396">
            <w:pPr>
              <w:pStyle w:val="ITEABodyText"/>
              <w:ind w:left="0"/>
              <w:cnfStyle w:val="000000010000" w:firstRow="0" w:lastRow="0" w:firstColumn="0" w:lastColumn="0" w:oddVBand="0" w:evenVBand="0" w:oddHBand="0" w:evenHBand="1" w:firstRowFirstColumn="0" w:firstRowLastColumn="0" w:lastRowFirstColumn="0" w:lastRowLastColumn="0"/>
              <w:rPr>
                <w:lang w:val="en-US" w:eastAsia="en-US"/>
              </w:rPr>
            </w:pPr>
            <w:r w:rsidRPr="00DC6779">
              <w:rPr>
                <w:lang w:val="en-US" w:eastAsia="en-US"/>
              </w:rPr>
              <w:t>gunther.siegel@ansys.com</w:t>
            </w:r>
          </w:p>
        </w:tc>
      </w:tr>
      <w:tr w:rsidR="0047622B" w:rsidRPr="00CD11A8" w14:paraId="65E40975" w14:textId="77777777" w:rsidTr="008A60E8">
        <w:tblPrEx>
          <w:tblCellMar>
            <w:top w:w="85" w:type="dxa"/>
            <w:bottom w:w="85"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9" w:type="dxa"/>
          </w:tcPr>
          <w:p w14:paraId="2155726F" w14:textId="77777777" w:rsidR="0047622B" w:rsidRDefault="00DC6779" w:rsidP="00D51396">
            <w:pPr>
              <w:pStyle w:val="ITEABodyText"/>
              <w:ind w:left="0"/>
              <w:rPr>
                <w:lang w:val="en-US" w:eastAsia="en-US"/>
              </w:rPr>
            </w:pPr>
            <w:r>
              <w:rPr>
                <w:lang w:val="en-US" w:eastAsia="en-US"/>
              </w:rPr>
              <w:t>Xavier Leroy</w:t>
            </w:r>
          </w:p>
        </w:tc>
        <w:tc>
          <w:tcPr>
            <w:tcW w:w="2396" w:type="dxa"/>
          </w:tcPr>
          <w:p w14:paraId="6613C2CC" w14:textId="77777777" w:rsidR="0047622B" w:rsidRDefault="00DC6779" w:rsidP="00D51396">
            <w:pPr>
              <w:pStyle w:val="ITEABodyText"/>
              <w:ind w:left="0"/>
              <w:cnfStyle w:val="000000100000" w:firstRow="0" w:lastRow="0" w:firstColumn="0" w:lastColumn="0" w:oddVBand="0" w:evenVBand="0" w:oddHBand="1" w:evenHBand="0" w:firstRowFirstColumn="0" w:firstRowLastColumn="0" w:lastRowFirstColumn="0" w:lastRowLastColumn="0"/>
              <w:rPr>
                <w:lang w:val="en-US" w:eastAsia="en-US"/>
              </w:rPr>
            </w:pPr>
            <w:r>
              <w:rPr>
                <w:lang w:val="en-US" w:eastAsia="en-US"/>
              </w:rPr>
              <w:t>Inria</w:t>
            </w:r>
          </w:p>
        </w:tc>
        <w:tc>
          <w:tcPr>
            <w:tcW w:w="3761" w:type="dxa"/>
          </w:tcPr>
          <w:p w14:paraId="1F24E7F9" w14:textId="77777777" w:rsidR="0047622B" w:rsidRDefault="00DC6779" w:rsidP="00D51396">
            <w:pPr>
              <w:pStyle w:val="ITEABodyText"/>
              <w:ind w:left="0"/>
              <w:cnfStyle w:val="000000100000" w:firstRow="0" w:lastRow="0" w:firstColumn="0" w:lastColumn="0" w:oddVBand="0" w:evenVBand="0" w:oddHBand="1" w:evenHBand="0" w:firstRowFirstColumn="0" w:firstRowLastColumn="0" w:lastRowFirstColumn="0" w:lastRowLastColumn="0"/>
              <w:rPr>
                <w:lang w:val="en-US" w:eastAsia="en-US"/>
              </w:rPr>
            </w:pPr>
            <w:r w:rsidRPr="00DC6779">
              <w:rPr>
                <w:lang w:val="en-US" w:eastAsia="en-US"/>
              </w:rPr>
              <w:t>xavier.leroy@inria.fr</w:t>
            </w:r>
          </w:p>
        </w:tc>
      </w:tr>
      <w:tr w:rsidR="006573A7" w:rsidRPr="00CD11A8" w14:paraId="0C48B441" w14:textId="77777777" w:rsidTr="008A60E8">
        <w:tblPrEx>
          <w:tblCellMar>
            <w:top w:w="85" w:type="dxa"/>
            <w:bottom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9" w:type="dxa"/>
          </w:tcPr>
          <w:p w14:paraId="13E3DCE4" w14:textId="131099F4" w:rsidR="006573A7" w:rsidRDefault="006573A7" w:rsidP="00D51396">
            <w:pPr>
              <w:pStyle w:val="ITEABodyText"/>
              <w:rPr>
                <w:lang w:val="en-US" w:eastAsia="en-US"/>
              </w:rPr>
            </w:pPr>
            <w:r>
              <w:t>Mladen Skelin</w:t>
            </w:r>
          </w:p>
        </w:tc>
        <w:tc>
          <w:tcPr>
            <w:tcW w:w="2396" w:type="dxa"/>
          </w:tcPr>
          <w:p w14:paraId="279DD94B" w14:textId="7EEEEBFF" w:rsidR="006573A7" w:rsidRDefault="006573A7" w:rsidP="00D51396">
            <w:pPr>
              <w:pStyle w:val="ITEABodyText"/>
              <w:cnfStyle w:val="000000010000" w:firstRow="0" w:lastRow="0" w:firstColumn="0" w:lastColumn="0" w:oddVBand="0" w:evenVBand="0" w:oddHBand="0" w:evenHBand="1" w:firstRowFirstColumn="0" w:firstRowLastColumn="0" w:lastRowFirstColumn="0" w:lastRowLastColumn="0"/>
              <w:rPr>
                <w:lang w:val="en-US" w:eastAsia="en-US"/>
              </w:rPr>
            </w:pPr>
            <w:r>
              <w:rPr>
                <w:lang w:val="en-US" w:eastAsia="en-US"/>
              </w:rPr>
              <w:t>TU/E</w:t>
            </w:r>
          </w:p>
        </w:tc>
        <w:tc>
          <w:tcPr>
            <w:tcW w:w="3761" w:type="dxa"/>
          </w:tcPr>
          <w:p w14:paraId="6DA5CA24" w14:textId="2EE084FB" w:rsidR="006573A7" w:rsidRDefault="006573A7" w:rsidP="00D51396">
            <w:pPr>
              <w:pStyle w:val="ITEABodyText"/>
              <w:cnfStyle w:val="000000010000" w:firstRow="0" w:lastRow="0" w:firstColumn="0" w:lastColumn="0" w:oddVBand="0" w:evenVBand="0" w:oddHBand="0" w:evenHBand="1" w:firstRowFirstColumn="0" w:firstRowLastColumn="0" w:lastRowFirstColumn="0" w:lastRowLastColumn="0"/>
              <w:rPr>
                <w:lang w:val="en-US" w:eastAsia="en-US"/>
              </w:rPr>
            </w:pPr>
            <w:r>
              <w:rPr>
                <w:lang w:val="en-US" w:eastAsia="en-US"/>
              </w:rPr>
              <w:t>m.skelin@tue.nl</w:t>
            </w:r>
          </w:p>
        </w:tc>
      </w:tr>
      <w:tr w:rsidR="00DC6779" w:rsidRPr="00CD11A8" w14:paraId="6C593950" w14:textId="77777777" w:rsidTr="008A60E8">
        <w:tblPrEx>
          <w:tblCellMar>
            <w:top w:w="85" w:type="dxa"/>
            <w:bottom w:w="85"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9" w:type="dxa"/>
          </w:tcPr>
          <w:p w14:paraId="784BAAB6" w14:textId="77777777" w:rsidR="00DC6779" w:rsidRDefault="00DC6779" w:rsidP="00D51396">
            <w:pPr>
              <w:pStyle w:val="ITEABodyText"/>
              <w:rPr>
                <w:lang w:val="en-US" w:eastAsia="en-US"/>
              </w:rPr>
            </w:pPr>
            <w:r>
              <w:rPr>
                <w:lang w:val="en-US" w:eastAsia="en-US"/>
              </w:rPr>
              <w:t>Reinhold Heckmann</w:t>
            </w:r>
          </w:p>
        </w:tc>
        <w:tc>
          <w:tcPr>
            <w:tcW w:w="2396" w:type="dxa"/>
          </w:tcPr>
          <w:p w14:paraId="09E106D3" w14:textId="77777777" w:rsidR="00DC6779" w:rsidRDefault="00DC6779" w:rsidP="00D51396">
            <w:pPr>
              <w:pStyle w:val="ITEABodyText"/>
              <w:cnfStyle w:val="000000100000" w:firstRow="0" w:lastRow="0" w:firstColumn="0" w:lastColumn="0" w:oddVBand="0" w:evenVBand="0" w:oddHBand="1" w:evenHBand="0" w:firstRowFirstColumn="0" w:firstRowLastColumn="0" w:lastRowFirstColumn="0" w:lastRowLastColumn="0"/>
              <w:rPr>
                <w:lang w:val="en-US" w:eastAsia="en-US"/>
              </w:rPr>
            </w:pPr>
            <w:r>
              <w:rPr>
                <w:lang w:val="en-US" w:eastAsia="en-US"/>
              </w:rPr>
              <w:t>AbsInt</w:t>
            </w:r>
          </w:p>
        </w:tc>
        <w:tc>
          <w:tcPr>
            <w:tcW w:w="3761" w:type="dxa"/>
          </w:tcPr>
          <w:p w14:paraId="18CF8620" w14:textId="77777777" w:rsidR="00DC6779" w:rsidRPr="00DC6779" w:rsidRDefault="00DC6779" w:rsidP="00D51396">
            <w:pPr>
              <w:pStyle w:val="ITEABodyText"/>
              <w:cnfStyle w:val="000000100000" w:firstRow="0" w:lastRow="0" w:firstColumn="0" w:lastColumn="0" w:oddVBand="0" w:evenVBand="0" w:oddHBand="1" w:evenHBand="0" w:firstRowFirstColumn="0" w:firstRowLastColumn="0" w:lastRowFirstColumn="0" w:lastRowLastColumn="0"/>
              <w:rPr>
                <w:lang w:val="en-US" w:eastAsia="en-US"/>
              </w:rPr>
            </w:pPr>
            <w:r>
              <w:rPr>
                <w:lang w:val="en-US" w:eastAsia="en-US"/>
              </w:rPr>
              <w:t>heckmann@absint.com</w:t>
            </w:r>
          </w:p>
        </w:tc>
      </w:tr>
      <w:tr w:rsidR="006F5EDA" w:rsidRPr="00CD11A8" w14:paraId="1FE7AC7B" w14:textId="77777777" w:rsidTr="008A60E8">
        <w:tblPrEx>
          <w:tblCellMar>
            <w:top w:w="85" w:type="dxa"/>
            <w:bottom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9" w:type="dxa"/>
          </w:tcPr>
          <w:p w14:paraId="513BABF7" w14:textId="411E754E" w:rsidR="006F5EDA" w:rsidRDefault="006F5EDA" w:rsidP="00D51396">
            <w:pPr>
              <w:pStyle w:val="ITEABodyText"/>
              <w:rPr>
                <w:lang w:val="en-US" w:eastAsia="en-US"/>
              </w:rPr>
            </w:pPr>
            <w:r>
              <w:rPr>
                <w:lang w:val="en-US" w:eastAsia="en-US"/>
              </w:rPr>
              <w:t>Marco Bekooij</w:t>
            </w:r>
          </w:p>
        </w:tc>
        <w:tc>
          <w:tcPr>
            <w:tcW w:w="2396" w:type="dxa"/>
          </w:tcPr>
          <w:p w14:paraId="79410003" w14:textId="4887179D" w:rsidR="006F5EDA" w:rsidRDefault="006F5EDA" w:rsidP="00D51396">
            <w:pPr>
              <w:pStyle w:val="ITEABodyText"/>
              <w:cnfStyle w:val="000000010000" w:firstRow="0" w:lastRow="0" w:firstColumn="0" w:lastColumn="0" w:oddVBand="0" w:evenVBand="0" w:oddHBand="0" w:evenHBand="1" w:firstRowFirstColumn="0" w:firstRowLastColumn="0" w:lastRowFirstColumn="0" w:lastRowLastColumn="0"/>
              <w:rPr>
                <w:lang w:val="en-US" w:eastAsia="en-US"/>
              </w:rPr>
            </w:pPr>
            <w:r>
              <w:rPr>
                <w:lang w:val="en-US" w:eastAsia="en-US"/>
              </w:rPr>
              <w:t>NXP/UT</w:t>
            </w:r>
          </w:p>
        </w:tc>
        <w:tc>
          <w:tcPr>
            <w:tcW w:w="3761" w:type="dxa"/>
          </w:tcPr>
          <w:p w14:paraId="4DAA78C3" w14:textId="01A1B98E" w:rsidR="006F5EDA" w:rsidRDefault="006F5EDA" w:rsidP="00D51396">
            <w:pPr>
              <w:pStyle w:val="ITEABodyText"/>
              <w:cnfStyle w:val="000000010000" w:firstRow="0" w:lastRow="0" w:firstColumn="0" w:lastColumn="0" w:oddVBand="0" w:evenVBand="0" w:oddHBand="0" w:evenHBand="1" w:firstRowFirstColumn="0" w:firstRowLastColumn="0" w:lastRowFirstColumn="0" w:lastRowLastColumn="0"/>
              <w:rPr>
                <w:lang w:val="en-US" w:eastAsia="en-US"/>
              </w:rPr>
            </w:pPr>
            <w:r>
              <w:rPr>
                <w:lang w:val="en-US" w:eastAsia="en-US"/>
              </w:rPr>
              <w:t>marco.bekooij@nxp.com</w:t>
            </w:r>
          </w:p>
        </w:tc>
      </w:tr>
    </w:tbl>
    <w:p w14:paraId="35F89B0A" w14:textId="77777777" w:rsidR="003732D1" w:rsidRPr="00CD11A8" w:rsidRDefault="003732D1" w:rsidP="003732D1">
      <w:pPr>
        <w:pStyle w:val="ITEABodyText"/>
        <w:rPr>
          <w:lang w:val="en-US" w:eastAsia="en-US"/>
        </w:rPr>
      </w:pPr>
    </w:p>
    <w:p w14:paraId="1D60948B" w14:textId="77777777" w:rsidR="003732D1" w:rsidRPr="00CD11A8" w:rsidRDefault="003732D1" w:rsidP="00CD3502">
      <w:pPr>
        <w:pStyle w:val="ITEABodyText"/>
        <w:rPr>
          <w:lang w:val="en-US"/>
        </w:rPr>
      </w:pPr>
    </w:p>
    <w:p w14:paraId="1D2F5E08" w14:textId="77777777" w:rsidR="003732D1" w:rsidRPr="00CD11A8" w:rsidRDefault="008727B9" w:rsidP="003732D1">
      <w:pPr>
        <w:pStyle w:val="ITEAHeading0"/>
        <w:pageBreakBefore w:val="0"/>
        <w:rPr>
          <w:lang w:val="en-US"/>
        </w:rPr>
      </w:pPr>
      <w:bookmarkStart w:id="5" w:name="_Toc434578999"/>
      <w:bookmarkStart w:id="6" w:name="_Toc398225037"/>
      <w:r w:rsidRPr="008727B9">
        <w:rPr>
          <w:lang w:val="en-US"/>
        </w:rPr>
        <w:t>Change and Revision History</w:t>
      </w:r>
      <w:bookmarkEnd w:id="5"/>
      <w:bookmarkEnd w:id="6"/>
    </w:p>
    <w:tbl>
      <w:tblPr>
        <w:tblStyle w:val="MediumShading1-Accent2"/>
        <w:tblW w:w="0" w:type="auto"/>
        <w:jc w:val="left"/>
        <w:tblInd w:w="108" w:type="dxa"/>
        <w:tblLook w:val="04A0" w:firstRow="1" w:lastRow="0" w:firstColumn="1" w:lastColumn="0" w:noHBand="0" w:noVBand="1"/>
      </w:tblPr>
      <w:tblGrid>
        <w:gridCol w:w="2537"/>
        <w:gridCol w:w="2298"/>
        <w:gridCol w:w="3571"/>
        <w:gridCol w:w="1351"/>
      </w:tblGrid>
      <w:tr w:rsidR="004A62A8" w:rsidRPr="00CD11A8" w14:paraId="227322FA" w14:textId="77777777" w:rsidTr="00000EDB">
        <w:trPr>
          <w:cnfStyle w:val="100000000000" w:firstRow="1" w:lastRow="0" w:firstColumn="0" w:lastColumn="0" w:oddVBand="0" w:evenVBand="0" w:oddHBand="0" w:evenHBand="0" w:firstRowFirstColumn="0" w:firstRowLastColumn="0" w:lastRowFirstColumn="0" w:lastRowLastColumn="0"/>
          <w:trHeight w:val="940"/>
          <w:jc w:val="left"/>
        </w:trPr>
        <w:tc>
          <w:tcPr>
            <w:cnfStyle w:val="001000000000" w:firstRow="0" w:lastRow="0" w:firstColumn="1" w:lastColumn="0" w:oddVBand="0" w:evenVBand="0" w:oddHBand="0" w:evenHBand="0" w:firstRowFirstColumn="0" w:firstRowLastColumn="0" w:lastRowFirstColumn="0" w:lastRowLastColumn="0"/>
            <w:tcW w:w="2537" w:type="dxa"/>
          </w:tcPr>
          <w:p w14:paraId="3D3721F6" w14:textId="77777777" w:rsidR="003732D1" w:rsidRPr="00CD11A8" w:rsidRDefault="008727B9" w:rsidP="00CD3502">
            <w:pPr>
              <w:pStyle w:val="ITEABodyText"/>
              <w:ind w:left="0" w:right="0"/>
              <w:rPr>
                <w:lang w:val="en-US"/>
              </w:rPr>
            </w:pPr>
            <w:r w:rsidRPr="008727B9">
              <w:rPr>
                <w:lang w:val="en-US"/>
              </w:rPr>
              <w:t>Version</w:t>
            </w:r>
          </w:p>
        </w:tc>
        <w:tc>
          <w:tcPr>
            <w:tcW w:w="2298" w:type="dxa"/>
          </w:tcPr>
          <w:p w14:paraId="071EB808" w14:textId="77777777" w:rsidR="003732D1" w:rsidRPr="00CD11A8" w:rsidRDefault="008727B9" w:rsidP="00CD3502">
            <w:pPr>
              <w:pStyle w:val="ITEABodyText"/>
              <w:ind w:left="0" w:right="0"/>
              <w:cnfStyle w:val="100000000000" w:firstRow="1" w:lastRow="0" w:firstColumn="0" w:lastColumn="0" w:oddVBand="0" w:evenVBand="0" w:oddHBand="0" w:evenHBand="0" w:firstRowFirstColumn="0" w:firstRowLastColumn="0" w:lastRowFirstColumn="0" w:lastRowLastColumn="0"/>
              <w:rPr>
                <w:lang w:val="en-US"/>
              </w:rPr>
            </w:pPr>
            <w:r w:rsidRPr="008727B9">
              <w:rPr>
                <w:lang w:val="en-US"/>
              </w:rPr>
              <w:t>Date</w:t>
            </w:r>
          </w:p>
        </w:tc>
        <w:tc>
          <w:tcPr>
            <w:tcW w:w="3571" w:type="dxa"/>
          </w:tcPr>
          <w:p w14:paraId="4086C055" w14:textId="77777777" w:rsidR="003732D1" w:rsidRPr="00CD11A8" w:rsidRDefault="008727B9" w:rsidP="00CD3502">
            <w:pPr>
              <w:pStyle w:val="ITEABodyText"/>
              <w:ind w:left="0" w:right="0"/>
              <w:cnfStyle w:val="100000000000" w:firstRow="1" w:lastRow="0" w:firstColumn="0" w:lastColumn="0" w:oddVBand="0" w:evenVBand="0" w:oddHBand="0" w:evenHBand="0" w:firstRowFirstColumn="0" w:firstRowLastColumn="0" w:lastRowFirstColumn="0" w:lastRowLastColumn="0"/>
              <w:rPr>
                <w:lang w:val="en-US"/>
              </w:rPr>
            </w:pPr>
            <w:r w:rsidRPr="008727B9">
              <w:rPr>
                <w:lang w:val="en-US"/>
              </w:rPr>
              <w:t>Reason for Change</w:t>
            </w:r>
          </w:p>
        </w:tc>
        <w:tc>
          <w:tcPr>
            <w:tcW w:w="1351" w:type="dxa"/>
          </w:tcPr>
          <w:p w14:paraId="0C8D43EA" w14:textId="77777777" w:rsidR="003732D1" w:rsidRPr="00CD11A8" w:rsidRDefault="008727B9" w:rsidP="00BC573E">
            <w:pPr>
              <w:pStyle w:val="ITEABodyText"/>
              <w:ind w:left="0" w:right="0"/>
              <w:cnfStyle w:val="100000000000" w:firstRow="1" w:lastRow="0" w:firstColumn="0" w:lastColumn="0" w:oddVBand="0" w:evenVBand="0" w:oddHBand="0" w:evenHBand="0" w:firstRowFirstColumn="0" w:firstRowLastColumn="0" w:lastRowFirstColumn="0" w:lastRowLastColumn="0"/>
              <w:rPr>
                <w:lang w:val="en-US"/>
              </w:rPr>
            </w:pPr>
            <w:r w:rsidRPr="008727B9">
              <w:rPr>
                <w:lang w:val="en-US"/>
              </w:rPr>
              <w:t>Affected sections</w:t>
            </w:r>
          </w:p>
        </w:tc>
      </w:tr>
      <w:tr w:rsidR="004A62A8" w:rsidRPr="00CD11A8" w14:paraId="3C559972" w14:textId="77777777" w:rsidTr="00000EDB">
        <w:tblPrEx>
          <w:tblCellMar>
            <w:top w:w="85" w:type="dxa"/>
            <w:bottom w:w="85" w:type="dxa"/>
          </w:tblCellMar>
        </w:tblPrEx>
        <w:trPr>
          <w:cnfStyle w:val="000000100000" w:firstRow="0" w:lastRow="0" w:firstColumn="0" w:lastColumn="0" w:oddVBand="0" w:evenVBand="0" w:oddHBand="1" w:evenHBand="0" w:firstRowFirstColumn="0" w:firstRowLastColumn="0" w:lastRowFirstColumn="0" w:lastRowLastColumn="0"/>
          <w:trHeight w:val="269"/>
          <w:jc w:val="left"/>
        </w:trPr>
        <w:tc>
          <w:tcPr>
            <w:cnfStyle w:val="001000000000" w:firstRow="0" w:lastRow="0" w:firstColumn="1" w:lastColumn="0" w:oddVBand="0" w:evenVBand="0" w:oddHBand="0" w:evenHBand="0" w:firstRowFirstColumn="0" w:firstRowLastColumn="0" w:lastRowFirstColumn="0" w:lastRowLastColumn="0"/>
            <w:tcW w:w="2537" w:type="dxa"/>
          </w:tcPr>
          <w:p w14:paraId="3611A8C9" w14:textId="1A704757" w:rsidR="006573A7" w:rsidRPr="00CD11A8" w:rsidRDefault="006573A7" w:rsidP="00000EDB">
            <w:pPr>
              <w:pStyle w:val="ITEABodyText"/>
              <w:rPr>
                <w:bCs w:val="0"/>
                <w:lang w:val="en-US"/>
              </w:rPr>
            </w:pPr>
            <w:r>
              <w:rPr>
                <w:lang w:val="en-US"/>
              </w:rPr>
              <w:t>1.0</w:t>
            </w:r>
          </w:p>
        </w:tc>
        <w:tc>
          <w:tcPr>
            <w:tcW w:w="2298" w:type="dxa"/>
          </w:tcPr>
          <w:p w14:paraId="5E850A4C" w14:textId="606D8C20" w:rsidR="006573A7" w:rsidRPr="00CD11A8" w:rsidRDefault="006573A7" w:rsidP="00CD3502">
            <w:pPr>
              <w:pStyle w:val="ITEABodyText"/>
              <w:spacing w:before="0"/>
              <w:ind w:left="0" w:right="0"/>
              <w:cnfStyle w:val="000000100000" w:firstRow="0" w:lastRow="0" w:firstColumn="0" w:lastColumn="0" w:oddVBand="0" w:evenVBand="0" w:oddHBand="1" w:evenHBand="0" w:firstRowFirstColumn="0" w:firstRowLastColumn="0" w:lastRowFirstColumn="0" w:lastRowLastColumn="0"/>
              <w:rPr>
                <w:lang w:val="en-US"/>
              </w:rPr>
            </w:pPr>
            <w:r>
              <w:rPr>
                <w:lang w:val="en-US"/>
              </w:rPr>
              <w:t>04.09.2018</w:t>
            </w:r>
          </w:p>
        </w:tc>
        <w:tc>
          <w:tcPr>
            <w:tcW w:w="3571" w:type="dxa"/>
          </w:tcPr>
          <w:p w14:paraId="30E8F94D" w14:textId="65A59851" w:rsidR="006573A7" w:rsidRPr="00CD11A8" w:rsidRDefault="006573A7" w:rsidP="00CD3502">
            <w:pPr>
              <w:pStyle w:val="ITEABodyText"/>
              <w:spacing w:before="0"/>
              <w:ind w:left="0" w:right="0"/>
              <w:cnfStyle w:val="000000100000" w:firstRow="0" w:lastRow="0" w:firstColumn="0" w:lastColumn="0" w:oddVBand="0" w:evenVBand="0" w:oddHBand="1" w:evenHBand="0" w:firstRowFirstColumn="0" w:firstRowLastColumn="0" w:lastRowFirstColumn="0" w:lastRowLastColumn="0"/>
              <w:rPr>
                <w:lang w:val="en-US"/>
              </w:rPr>
            </w:pPr>
            <w:r>
              <w:rPr>
                <w:lang w:val="en-US"/>
              </w:rPr>
              <w:t>Integration of user contributions</w:t>
            </w:r>
          </w:p>
        </w:tc>
        <w:tc>
          <w:tcPr>
            <w:tcW w:w="1351" w:type="dxa"/>
          </w:tcPr>
          <w:p w14:paraId="74B0C3D4" w14:textId="1CD13C76" w:rsidR="006573A7" w:rsidRPr="00CD11A8" w:rsidRDefault="006573A7" w:rsidP="00000EDB">
            <w:pPr>
              <w:pStyle w:val="ITEABodyText"/>
              <w:cnfStyle w:val="000000100000" w:firstRow="0" w:lastRow="0" w:firstColumn="0" w:lastColumn="0" w:oddVBand="0" w:evenVBand="0" w:oddHBand="1" w:evenHBand="0" w:firstRowFirstColumn="0" w:firstRowLastColumn="0" w:lastRowFirstColumn="0" w:lastRowLastColumn="0"/>
              <w:rPr>
                <w:lang w:val="en-US"/>
              </w:rPr>
            </w:pPr>
            <w:r>
              <w:rPr>
                <w:lang w:val="en-US"/>
              </w:rPr>
              <w:t>All</w:t>
            </w:r>
          </w:p>
        </w:tc>
      </w:tr>
    </w:tbl>
    <w:p w14:paraId="09FFC0B9" w14:textId="77777777" w:rsidR="00397912" w:rsidRPr="00CD11A8" w:rsidRDefault="008727B9" w:rsidP="00CD3502">
      <w:pPr>
        <w:pStyle w:val="ITEABodyText"/>
        <w:rPr>
          <w:lang w:val="en-US"/>
        </w:rPr>
      </w:pPr>
      <w:r w:rsidRPr="008727B9">
        <w:rPr>
          <w:lang w:val="en-US"/>
        </w:rPr>
        <w:br w:type="page"/>
      </w:r>
    </w:p>
    <w:bookmarkStart w:id="7" w:name="_Toc398225038" w:displacedByCustomXml="next"/>
    <w:bookmarkStart w:id="8" w:name="_Toc397005048" w:displacedByCustomXml="next"/>
    <w:bookmarkStart w:id="9" w:name="_Toc397004130" w:displacedByCustomXml="next"/>
    <w:bookmarkStart w:id="10" w:name="_Toc397003062" w:displacedByCustomXml="next"/>
    <w:bookmarkStart w:id="11" w:name="_Toc397002679" w:displacedByCustomXml="next"/>
    <w:bookmarkStart w:id="12" w:name="_Toc397002645" w:displacedByCustomXml="next"/>
    <w:bookmarkStart w:id="13" w:name="_Toc396999121" w:displacedByCustomXml="next"/>
    <w:sdt>
      <w:sdtPr>
        <w:rPr>
          <w:rFonts w:eastAsia="Times New Roman" w:cs="Times New Roman"/>
          <w:b w:val="0"/>
          <w:bCs/>
          <w:color w:val="000000" w:themeColor="text1"/>
          <w:spacing w:val="4"/>
          <w:sz w:val="20"/>
          <w:szCs w:val="24"/>
          <w:lang w:val="en-US" w:eastAsia="nl-NL"/>
        </w:rPr>
        <w:id w:val="-774087877"/>
        <w:docPartObj>
          <w:docPartGallery w:val="Table of Contents"/>
          <w:docPartUnique/>
        </w:docPartObj>
      </w:sdtPr>
      <w:sdtEndPr>
        <w:rPr>
          <w:bCs w:val="0"/>
          <w:noProof/>
        </w:rPr>
      </w:sdtEndPr>
      <w:sdtContent>
        <w:p w14:paraId="3391232B" w14:textId="77777777" w:rsidR="00A749E4" w:rsidRPr="00CD11A8" w:rsidRDefault="00F4274E" w:rsidP="00F4274E">
          <w:pPr>
            <w:pStyle w:val="ITEAHeading0"/>
            <w:rPr>
              <w:lang w:val="en-US"/>
            </w:rPr>
          </w:pPr>
          <w:r w:rsidRPr="008727B9">
            <w:rPr>
              <w:lang w:val="en-US"/>
            </w:rPr>
            <w:t>Table of Contents</w:t>
          </w:r>
          <w:bookmarkEnd w:id="7"/>
        </w:p>
        <w:p w14:paraId="73AABA50" w14:textId="77777777" w:rsidR="00B751CB" w:rsidRDefault="00E6652C">
          <w:pPr>
            <w:pStyle w:val="TOC2"/>
            <w:rPr>
              <w:rFonts w:asciiTheme="minorHAnsi" w:eastAsiaTheme="minorEastAsia" w:hAnsiTheme="minorHAnsi" w:cstheme="minorBidi"/>
              <w:smallCaps w:val="0"/>
              <w:color w:val="auto"/>
              <w:spacing w:val="0"/>
              <w:sz w:val="24"/>
              <w:szCs w:val="24"/>
              <w:lang w:val="fr-FR" w:eastAsia="ja-JP"/>
            </w:rPr>
          </w:pPr>
          <w:r w:rsidRPr="008727B9">
            <w:rPr>
              <w:smallCaps w:val="0"/>
              <w:lang w:val="en-US"/>
            </w:rPr>
            <w:fldChar w:fldCharType="begin"/>
          </w:r>
          <w:r w:rsidR="008727B9" w:rsidRPr="008727B9">
            <w:rPr>
              <w:smallCaps w:val="0"/>
              <w:lang w:val="en-US"/>
            </w:rPr>
            <w:instrText xml:space="preserve"> TOC \o "1-4" \h \z \u </w:instrText>
          </w:r>
          <w:r w:rsidRPr="008727B9">
            <w:rPr>
              <w:smallCaps w:val="0"/>
              <w:lang w:val="en-US"/>
            </w:rPr>
            <w:fldChar w:fldCharType="separate"/>
          </w:r>
          <w:r w:rsidR="00B751CB" w:rsidRPr="00663A62">
            <w:rPr>
              <w:lang w:val="en-US"/>
            </w:rPr>
            <w:t>Author Table</w:t>
          </w:r>
          <w:r w:rsidR="00B751CB">
            <w:tab/>
          </w:r>
          <w:r w:rsidR="00B751CB">
            <w:fldChar w:fldCharType="begin"/>
          </w:r>
          <w:r w:rsidR="00B751CB">
            <w:instrText xml:space="preserve"> PAGEREF _Toc398225036 \h </w:instrText>
          </w:r>
          <w:r w:rsidR="00B751CB">
            <w:fldChar w:fldCharType="separate"/>
          </w:r>
          <w:r w:rsidR="00B751CB">
            <w:t>2</w:t>
          </w:r>
          <w:r w:rsidR="00B751CB">
            <w:fldChar w:fldCharType="end"/>
          </w:r>
        </w:p>
        <w:p w14:paraId="77BA910F" w14:textId="77777777" w:rsidR="00B751CB" w:rsidRDefault="00B751CB">
          <w:pPr>
            <w:pStyle w:val="TOC2"/>
            <w:rPr>
              <w:rFonts w:asciiTheme="minorHAnsi" w:eastAsiaTheme="minorEastAsia" w:hAnsiTheme="minorHAnsi" w:cstheme="minorBidi"/>
              <w:smallCaps w:val="0"/>
              <w:color w:val="auto"/>
              <w:spacing w:val="0"/>
              <w:sz w:val="24"/>
              <w:szCs w:val="24"/>
              <w:lang w:val="fr-FR" w:eastAsia="ja-JP"/>
            </w:rPr>
          </w:pPr>
          <w:r w:rsidRPr="00663A62">
            <w:rPr>
              <w:lang w:val="en-US"/>
            </w:rPr>
            <w:t>Change and Revision History</w:t>
          </w:r>
          <w:r>
            <w:tab/>
          </w:r>
          <w:r>
            <w:fldChar w:fldCharType="begin"/>
          </w:r>
          <w:r>
            <w:instrText xml:space="preserve"> PAGEREF _Toc398225037 \h </w:instrText>
          </w:r>
          <w:r>
            <w:fldChar w:fldCharType="separate"/>
          </w:r>
          <w:r>
            <w:t>2</w:t>
          </w:r>
          <w:r>
            <w:fldChar w:fldCharType="end"/>
          </w:r>
        </w:p>
        <w:p w14:paraId="4B5BF259" w14:textId="77777777" w:rsidR="00B751CB" w:rsidRDefault="00B751CB">
          <w:pPr>
            <w:pStyle w:val="TOC2"/>
            <w:rPr>
              <w:rFonts w:asciiTheme="minorHAnsi" w:eastAsiaTheme="minorEastAsia" w:hAnsiTheme="minorHAnsi" w:cstheme="minorBidi"/>
              <w:smallCaps w:val="0"/>
              <w:color w:val="auto"/>
              <w:spacing w:val="0"/>
              <w:sz w:val="24"/>
              <w:szCs w:val="24"/>
              <w:lang w:val="fr-FR" w:eastAsia="ja-JP"/>
            </w:rPr>
          </w:pPr>
          <w:r w:rsidRPr="00663A62">
            <w:rPr>
              <w:lang w:val="en-US"/>
            </w:rPr>
            <w:t>Table of Contents</w:t>
          </w:r>
          <w:r>
            <w:tab/>
          </w:r>
          <w:r>
            <w:fldChar w:fldCharType="begin"/>
          </w:r>
          <w:r>
            <w:instrText xml:space="preserve"> PAGEREF _Toc398225038 \h </w:instrText>
          </w:r>
          <w:r>
            <w:fldChar w:fldCharType="separate"/>
          </w:r>
          <w:r>
            <w:t>3</w:t>
          </w:r>
          <w:r>
            <w:fldChar w:fldCharType="end"/>
          </w:r>
        </w:p>
        <w:p w14:paraId="216D0A97" w14:textId="77777777" w:rsidR="00B751CB" w:rsidRDefault="00B751CB">
          <w:pPr>
            <w:pStyle w:val="TOC2"/>
            <w:tabs>
              <w:tab w:val="left" w:pos="613"/>
            </w:tabs>
            <w:rPr>
              <w:rFonts w:asciiTheme="minorHAnsi" w:eastAsiaTheme="minorEastAsia" w:hAnsiTheme="minorHAnsi" w:cstheme="minorBidi"/>
              <w:smallCaps w:val="0"/>
              <w:color w:val="auto"/>
              <w:spacing w:val="0"/>
              <w:sz w:val="24"/>
              <w:szCs w:val="24"/>
              <w:lang w:val="fr-FR" w:eastAsia="ja-JP"/>
            </w:rPr>
          </w:pPr>
          <w:r w:rsidRPr="00663A62">
            <w:rPr>
              <w:lang w:val="en-US"/>
            </w:rPr>
            <w:t>1.</w:t>
          </w:r>
          <w:r>
            <w:rPr>
              <w:rFonts w:asciiTheme="minorHAnsi" w:eastAsiaTheme="minorEastAsia" w:hAnsiTheme="minorHAnsi" w:cstheme="minorBidi"/>
              <w:smallCaps w:val="0"/>
              <w:color w:val="auto"/>
              <w:spacing w:val="0"/>
              <w:sz w:val="24"/>
              <w:szCs w:val="24"/>
              <w:lang w:val="fr-FR" w:eastAsia="ja-JP"/>
            </w:rPr>
            <w:tab/>
          </w:r>
          <w:r w:rsidRPr="00663A62">
            <w:rPr>
              <w:lang w:val="en-US"/>
            </w:rPr>
            <w:t>Executive Summary</w:t>
          </w:r>
          <w:r>
            <w:tab/>
          </w:r>
          <w:r>
            <w:fldChar w:fldCharType="begin"/>
          </w:r>
          <w:r>
            <w:instrText xml:space="preserve"> PAGEREF _Toc398225039 \h </w:instrText>
          </w:r>
          <w:r>
            <w:fldChar w:fldCharType="separate"/>
          </w:r>
          <w:r>
            <w:t>4</w:t>
          </w:r>
          <w:r>
            <w:fldChar w:fldCharType="end"/>
          </w:r>
        </w:p>
        <w:p w14:paraId="6F3BF68E" w14:textId="77777777" w:rsidR="00B751CB" w:rsidRDefault="00B751CB">
          <w:pPr>
            <w:pStyle w:val="TOC2"/>
            <w:tabs>
              <w:tab w:val="left" w:pos="613"/>
            </w:tabs>
            <w:rPr>
              <w:rFonts w:asciiTheme="minorHAnsi" w:eastAsiaTheme="minorEastAsia" w:hAnsiTheme="minorHAnsi" w:cstheme="minorBidi"/>
              <w:smallCaps w:val="0"/>
              <w:color w:val="auto"/>
              <w:spacing w:val="0"/>
              <w:sz w:val="24"/>
              <w:szCs w:val="24"/>
              <w:lang w:val="fr-FR" w:eastAsia="ja-JP"/>
            </w:rPr>
          </w:pPr>
          <w:r w:rsidRPr="00663A62">
            <w:rPr>
              <w:lang w:val="en-US"/>
            </w:rPr>
            <w:t>2.</w:t>
          </w:r>
          <w:r>
            <w:rPr>
              <w:rFonts w:asciiTheme="minorHAnsi" w:eastAsiaTheme="minorEastAsia" w:hAnsiTheme="minorHAnsi" w:cstheme="minorBidi"/>
              <w:smallCaps w:val="0"/>
              <w:color w:val="auto"/>
              <w:spacing w:val="0"/>
              <w:sz w:val="24"/>
              <w:szCs w:val="24"/>
              <w:lang w:val="fr-FR" w:eastAsia="ja-JP"/>
            </w:rPr>
            <w:tab/>
          </w:r>
          <w:r w:rsidRPr="00663A62">
            <w:rPr>
              <w:lang w:val="en-US"/>
            </w:rPr>
            <w:t>Avionics cluster</w:t>
          </w:r>
          <w:r>
            <w:tab/>
          </w:r>
          <w:r>
            <w:fldChar w:fldCharType="begin"/>
          </w:r>
          <w:r>
            <w:instrText xml:space="preserve"> PAGEREF _Toc398225040 \h </w:instrText>
          </w:r>
          <w:r>
            <w:fldChar w:fldCharType="separate"/>
          </w:r>
          <w:r>
            <w:t>5</w:t>
          </w:r>
          <w:r>
            <w:fldChar w:fldCharType="end"/>
          </w:r>
        </w:p>
        <w:p w14:paraId="6A6E8C29" w14:textId="77777777" w:rsidR="00B751CB" w:rsidRDefault="00B751CB">
          <w:pPr>
            <w:pStyle w:val="TOC3"/>
            <w:tabs>
              <w:tab w:val="left" w:pos="993"/>
            </w:tabs>
            <w:rPr>
              <w:rFonts w:asciiTheme="minorHAnsi" w:eastAsiaTheme="minorEastAsia" w:hAnsiTheme="minorHAnsi" w:cstheme="minorBidi"/>
              <w:i w:val="0"/>
              <w:iCs w:val="0"/>
              <w:color w:val="auto"/>
              <w:spacing w:val="0"/>
              <w:sz w:val="24"/>
              <w:szCs w:val="24"/>
              <w:lang w:val="fr-FR" w:eastAsia="ja-JP"/>
            </w:rPr>
          </w:pPr>
          <w:r>
            <w:t>2.1.</w:t>
          </w:r>
          <w:r>
            <w:rPr>
              <w:rFonts w:asciiTheme="minorHAnsi" w:eastAsiaTheme="minorEastAsia" w:hAnsiTheme="minorHAnsi" w:cstheme="minorBidi"/>
              <w:i w:val="0"/>
              <w:iCs w:val="0"/>
              <w:color w:val="auto"/>
              <w:spacing w:val="0"/>
              <w:sz w:val="24"/>
              <w:szCs w:val="24"/>
              <w:lang w:val="fr-FR" w:eastAsia="ja-JP"/>
            </w:rPr>
            <w:tab/>
          </w:r>
          <w:r>
            <w:t>Analysis of industrial use cases and requirements</w:t>
          </w:r>
          <w:r>
            <w:tab/>
          </w:r>
          <w:r>
            <w:fldChar w:fldCharType="begin"/>
          </w:r>
          <w:r>
            <w:instrText xml:space="preserve"> PAGEREF _Toc398225041 \h </w:instrText>
          </w:r>
          <w:r>
            <w:fldChar w:fldCharType="separate"/>
          </w:r>
          <w:r>
            <w:t>5</w:t>
          </w:r>
          <w:r>
            <w:fldChar w:fldCharType="end"/>
          </w:r>
        </w:p>
        <w:p w14:paraId="2E03F45C" w14:textId="77777777" w:rsidR="00B751CB" w:rsidRDefault="00B751CB">
          <w:pPr>
            <w:pStyle w:val="TOC3"/>
            <w:tabs>
              <w:tab w:val="left" w:pos="993"/>
            </w:tabs>
            <w:rPr>
              <w:rFonts w:asciiTheme="minorHAnsi" w:eastAsiaTheme="minorEastAsia" w:hAnsiTheme="minorHAnsi" w:cstheme="minorBidi"/>
              <w:i w:val="0"/>
              <w:iCs w:val="0"/>
              <w:color w:val="auto"/>
              <w:spacing w:val="0"/>
              <w:sz w:val="24"/>
              <w:szCs w:val="24"/>
              <w:lang w:val="fr-FR" w:eastAsia="ja-JP"/>
            </w:rPr>
          </w:pPr>
          <w:r>
            <w:t>2.2.</w:t>
          </w:r>
          <w:r>
            <w:rPr>
              <w:rFonts w:asciiTheme="minorHAnsi" w:eastAsiaTheme="minorEastAsia" w:hAnsiTheme="minorHAnsi" w:cstheme="minorBidi"/>
              <w:i w:val="0"/>
              <w:iCs w:val="0"/>
              <w:color w:val="auto"/>
              <w:spacing w:val="0"/>
              <w:sz w:val="24"/>
              <w:szCs w:val="24"/>
              <w:lang w:val="fr-FR" w:eastAsia="ja-JP"/>
            </w:rPr>
            <w:tab/>
          </w:r>
          <w:r>
            <w:t>Methodology principles</w:t>
          </w:r>
          <w:r>
            <w:tab/>
          </w:r>
          <w:r>
            <w:fldChar w:fldCharType="begin"/>
          </w:r>
          <w:r>
            <w:instrText xml:space="preserve"> PAGEREF _Toc398225042 \h </w:instrText>
          </w:r>
          <w:r>
            <w:fldChar w:fldCharType="separate"/>
          </w:r>
          <w:r>
            <w:t>5</w:t>
          </w:r>
          <w:r>
            <w:fldChar w:fldCharType="end"/>
          </w:r>
        </w:p>
        <w:p w14:paraId="68C243BD" w14:textId="77777777" w:rsidR="00B751CB" w:rsidRDefault="00B751CB">
          <w:pPr>
            <w:pStyle w:val="TOC3"/>
            <w:tabs>
              <w:tab w:val="left" w:pos="993"/>
            </w:tabs>
            <w:rPr>
              <w:rFonts w:asciiTheme="minorHAnsi" w:eastAsiaTheme="minorEastAsia" w:hAnsiTheme="minorHAnsi" w:cstheme="minorBidi"/>
              <w:i w:val="0"/>
              <w:iCs w:val="0"/>
              <w:color w:val="auto"/>
              <w:spacing w:val="0"/>
              <w:sz w:val="24"/>
              <w:szCs w:val="24"/>
              <w:lang w:val="fr-FR" w:eastAsia="ja-JP"/>
            </w:rPr>
          </w:pPr>
          <w:r>
            <w:t>2.3.</w:t>
          </w:r>
          <w:r>
            <w:rPr>
              <w:rFonts w:asciiTheme="minorHAnsi" w:eastAsiaTheme="minorEastAsia" w:hAnsiTheme="minorHAnsi" w:cstheme="minorBidi"/>
              <w:i w:val="0"/>
              <w:iCs w:val="0"/>
              <w:color w:val="auto"/>
              <w:spacing w:val="0"/>
              <w:sz w:val="24"/>
              <w:szCs w:val="24"/>
              <w:lang w:val="fr-FR" w:eastAsia="ja-JP"/>
            </w:rPr>
            <w:tab/>
          </w:r>
          <w:r>
            <w:t>Proposed tool flow and desired tool extensions</w:t>
          </w:r>
          <w:r>
            <w:tab/>
          </w:r>
          <w:r>
            <w:fldChar w:fldCharType="begin"/>
          </w:r>
          <w:r>
            <w:instrText xml:space="preserve"> PAGEREF _Toc398225043 \h </w:instrText>
          </w:r>
          <w:r>
            <w:fldChar w:fldCharType="separate"/>
          </w:r>
          <w:r>
            <w:t>6</w:t>
          </w:r>
          <w:r>
            <w:fldChar w:fldCharType="end"/>
          </w:r>
        </w:p>
        <w:p w14:paraId="7FAD8D16" w14:textId="77777777" w:rsidR="00B751CB" w:rsidRDefault="00B751CB">
          <w:pPr>
            <w:pStyle w:val="TOC4"/>
            <w:tabs>
              <w:tab w:val="left" w:pos="1314"/>
              <w:tab w:val="right" w:leader="dot" w:pos="10374"/>
            </w:tabs>
            <w:rPr>
              <w:rFonts w:asciiTheme="minorHAnsi" w:eastAsiaTheme="minorEastAsia" w:hAnsiTheme="minorHAnsi" w:cstheme="minorBidi"/>
              <w:noProof/>
              <w:color w:val="auto"/>
              <w:spacing w:val="0"/>
              <w:sz w:val="24"/>
              <w:szCs w:val="24"/>
              <w:lang w:val="fr-FR" w:eastAsia="ja-JP"/>
            </w:rPr>
          </w:pPr>
          <w:r>
            <w:rPr>
              <w:noProof/>
            </w:rPr>
            <w:t>2.3.1.</w:t>
          </w:r>
          <w:r>
            <w:rPr>
              <w:rFonts w:asciiTheme="minorHAnsi" w:eastAsiaTheme="minorEastAsia" w:hAnsiTheme="minorHAnsi" w:cstheme="minorBidi"/>
              <w:noProof/>
              <w:color w:val="auto"/>
              <w:spacing w:val="0"/>
              <w:sz w:val="24"/>
              <w:szCs w:val="24"/>
              <w:lang w:val="fr-FR" w:eastAsia="ja-JP"/>
            </w:rPr>
            <w:tab/>
          </w:r>
          <w:r>
            <w:rPr>
              <w:noProof/>
            </w:rPr>
            <w:t>Verified Lustre</w:t>
          </w:r>
          <w:r>
            <w:rPr>
              <w:noProof/>
            </w:rPr>
            <w:tab/>
          </w:r>
          <w:r>
            <w:rPr>
              <w:noProof/>
            </w:rPr>
            <w:fldChar w:fldCharType="begin"/>
          </w:r>
          <w:r>
            <w:rPr>
              <w:noProof/>
            </w:rPr>
            <w:instrText xml:space="preserve"> PAGEREF _Toc398225044 \h </w:instrText>
          </w:r>
          <w:r>
            <w:rPr>
              <w:noProof/>
            </w:rPr>
          </w:r>
          <w:r>
            <w:rPr>
              <w:noProof/>
            </w:rPr>
            <w:fldChar w:fldCharType="separate"/>
          </w:r>
          <w:r>
            <w:rPr>
              <w:noProof/>
            </w:rPr>
            <w:t>8</w:t>
          </w:r>
          <w:r>
            <w:rPr>
              <w:noProof/>
            </w:rPr>
            <w:fldChar w:fldCharType="end"/>
          </w:r>
        </w:p>
        <w:p w14:paraId="400A869E" w14:textId="77777777" w:rsidR="00B751CB" w:rsidRDefault="00B751CB">
          <w:pPr>
            <w:pStyle w:val="TOC4"/>
            <w:tabs>
              <w:tab w:val="left" w:pos="1314"/>
              <w:tab w:val="right" w:leader="dot" w:pos="10374"/>
            </w:tabs>
            <w:rPr>
              <w:rFonts w:asciiTheme="minorHAnsi" w:eastAsiaTheme="minorEastAsia" w:hAnsiTheme="minorHAnsi" w:cstheme="minorBidi"/>
              <w:noProof/>
              <w:color w:val="auto"/>
              <w:spacing w:val="0"/>
              <w:sz w:val="24"/>
              <w:szCs w:val="24"/>
              <w:lang w:val="fr-FR" w:eastAsia="ja-JP"/>
            </w:rPr>
          </w:pPr>
          <w:r>
            <w:rPr>
              <w:noProof/>
            </w:rPr>
            <w:t>2.3.2.</w:t>
          </w:r>
          <w:r>
            <w:rPr>
              <w:rFonts w:asciiTheme="minorHAnsi" w:eastAsiaTheme="minorEastAsia" w:hAnsiTheme="minorHAnsi" w:cstheme="minorBidi"/>
              <w:noProof/>
              <w:color w:val="auto"/>
              <w:spacing w:val="0"/>
              <w:sz w:val="24"/>
              <w:szCs w:val="24"/>
              <w:lang w:val="fr-FR" w:eastAsia="ja-JP"/>
            </w:rPr>
            <w:tab/>
          </w:r>
          <w:r>
            <w:rPr>
              <w:noProof/>
            </w:rPr>
            <w:t>Scade KCG6 parallel</w:t>
          </w:r>
          <w:r>
            <w:rPr>
              <w:noProof/>
            </w:rPr>
            <w:tab/>
          </w:r>
          <w:r>
            <w:rPr>
              <w:noProof/>
            </w:rPr>
            <w:fldChar w:fldCharType="begin"/>
          </w:r>
          <w:r>
            <w:rPr>
              <w:noProof/>
            </w:rPr>
            <w:instrText xml:space="preserve"> PAGEREF _Toc398225045 \h </w:instrText>
          </w:r>
          <w:r>
            <w:rPr>
              <w:noProof/>
            </w:rPr>
          </w:r>
          <w:r>
            <w:rPr>
              <w:noProof/>
            </w:rPr>
            <w:fldChar w:fldCharType="separate"/>
          </w:r>
          <w:r>
            <w:rPr>
              <w:noProof/>
            </w:rPr>
            <w:t>8</w:t>
          </w:r>
          <w:r>
            <w:rPr>
              <w:noProof/>
            </w:rPr>
            <w:fldChar w:fldCharType="end"/>
          </w:r>
        </w:p>
        <w:p w14:paraId="6EDB3E87" w14:textId="77777777" w:rsidR="00B751CB" w:rsidRDefault="00B751CB">
          <w:pPr>
            <w:pStyle w:val="TOC4"/>
            <w:tabs>
              <w:tab w:val="left" w:pos="1314"/>
              <w:tab w:val="right" w:leader="dot" w:pos="10374"/>
            </w:tabs>
            <w:rPr>
              <w:rFonts w:asciiTheme="minorHAnsi" w:eastAsiaTheme="minorEastAsia" w:hAnsiTheme="minorHAnsi" w:cstheme="minorBidi"/>
              <w:noProof/>
              <w:color w:val="auto"/>
              <w:spacing w:val="0"/>
              <w:sz w:val="24"/>
              <w:szCs w:val="24"/>
              <w:lang w:val="fr-FR" w:eastAsia="ja-JP"/>
            </w:rPr>
          </w:pPr>
          <w:r>
            <w:rPr>
              <w:noProof/>
            </w:rPr>
            <w:t>2.3.3.</w:t>
          </w:r>
          <w:r>
            <w:rPr>
              <w:rFonts w:asciiTheme="minorHAnsi" w:eastAsiaTheme="minorEastAsia" w:hAnsiTheme="minorHAnsi" w:cstheme="minorBidi"/>
              <w:noProof/>
              <w:color w:val="auto"/>
              <w:spacing w:val="0"/>
              <w:sz w:val="24"/>
              <w:szCs w:val="24"/>
              <w:lang w:val="fr-FR" w:eastAsia="ja-JP"/>
            </w:rPr>
            <w:tab/>
          </w:r>
          <w:r>
            <w:rPr>
              <w:noProof/>
            </w:rPr>
            <w:t>Heptagon/Lopht/aiT for Kalray MPPA256</w:t>
          </w:r>
          <w:r>
            <w:rPr>
              <w:noProof/>
            </w:rPr>
            <w:tab/>
          </w:r>
          <w:r>
            <w:rPr>
              <w:noProof/>
            </w:rPr>
            <w:fldChar w:fldCharType="begin"/>
          </w:r>
          <w:r>
            <w:rPr>
              <w:noProof/>
            </w:rPr>
            <w:instrText xml:space="preserve"> PAGEREF _Toc398225046 \h </w:instrText>
          </w:r>
          <w:r>
            <w:rPr>
              <w:noProof/>
            </w:rPr>
          </w:r>
          <w:r>
            <w:rPr>
              <w:noProof/>
            </w:rPr>
            <w:fldChar w:fldCharType="separate"/>
          </w:r>
          <w:r>
            <w:rPr>
              <w:noProof/>
            </w:rPr>
            <w:t>9</w:t>
          </w:r>
          <w:r>
            <w:rPr>
              <w:noProof/>
            </w:rPr>
            <w:fldChar w:fldCharType="end"/>
          </w:r>
        </w:p>
        <w:p w14:paraId="6BFAA6CB" w14:textId="77777777" w:rsidR="00B751CB" w:rsidRDefault="00B751CB">
          <w:pPr>
            <w:pStyle w:val="TOC4"/>
            <w:tabs>
              <w:tab w:val="left" w:pos="1314"/>
              <w:tab w:val="right" w:leader="dot" w:pos="10374"/>
            </w:tabs>
            <w:rPr>
              <w:rFonts w:asciiTheme="minorHAnsi" w:eastAsiaTheme="minorEastAsia" w:hAnsiTheme="minorHAnsi" w:cstheme="minorBidi"/>
              <w:noProof/>
              <w:color w:val="auto"/>
              <w:spacing w:val="0"/>
              <w:sz w:val="24"/>
              <w:szCs w:val="24"/>
              <w:lang w:val="fr-FR" w:eastAsia="ja-JP"/>
            </w:rPr>
          </w:pPr>
          <w:r>
            <w:rPr>
              <w:noProof/>
            </w:rPr>
            <w:t>2.3.4.</w:t>
          </w:r>
          <w:r>
            <w:rPr>
              <w:rFonts w:asciiTheme="minorHAnsi" w:eastAsiaTheme="minorEastAsia" w:hAnsiTheme="minorHAnsi" w:cstheme="minorBidi"/>
              <w:noProof/>
              <w:color w:val="auto"/>
              <w:spacing w:val="0"/>
              <w:sz w:val="24"/>
              <w:szCs w:val="24"/>
              <w:lang w:val="fr-FR" w:eastAsia="ja-JP"/>
            </w:rPr>
            <w:tab/>
          </w:r>
          <w:r>
            <w:rPr>
              <w:noProof/>
            </w:rPr>
            <w:t>CompCert</w:t>
          </w:r>
          <w:r>
            <w:rPr>
              <w:noProof/>
            </w:rPr>
            <w:tab/>
          </w:r>
          <w:r>
            <w:rPr>
              <w:noProof/>
            </w:rPr>
            <w:fldChar w:fldCharType="begin"/>
          </w:r>
          <w:r>
            <w:rPr>
              <w:noProof/>
            </w:rPr>
            <w:instrText xml:space="preserve"> PAGEREF _Toc398225047 \h </w:instrText>
          </w:r>
          <w:r>
            <w:rPr>
              <w:noProof/>
            </w:rPr>
          </w:r>
          <w:r>
            <w:rPr>
              <w:noProof/>
            </w:rPr>
            <w:fldChar w:fldCharType="separate"/>
          </w:r>
          <w:r>
            <w:rPr>
              <w:noProof/>
            </w:rPr>
            <w:t>11</w:t>
          </w:r>
          <w:r>
            <w:rPr>
              <w:noProof/>
            </w:rPr>
            <w:fldChar w:fldCharType="end"/>
          </w:r>
        </w:p>
        <w:p w14:paraId="09DDAD5D" w14:textId="77777777" w:rsidR="00B751CB" w:rsidRDefault="00B751CB">
          <w:pPr>
            <w:pStyle w:val="TOC4"/>
            <w:tabs>
              <w:tab w:val="left" w:pos="1472"/>
              <w:tab w:val="right" w:leader="dot" w:pos="10374"/>
            </w:tabs>
            <w:rPr>
              <w:rFonts w:asciiTheme="minorHAnsi" w:eastAsiaTheme="minorEastAsia" w:hAnsiTheme="minorHAnsi" w:cstheme="minorBidi"/>
              <w:noProof/>
              <w:color w:val="auto"/>
              <w:spacing w:val="0"/>
              <w:sz w:val="24"/>
              <w:szCs w:val="24"/>
              <w:lang w:val="fr-FR" w:eastAsia="ja-JP"/>
            </w:rPr>
          </w:pPr>
          <w:r>
            <w:rPr>
              <w:noProof/>
            </w:rPr>
            <w:t>2.3.4.1.</w:t>
          </w:r>
          <w:r>
            <w:rPr>
              <w:rFonts w:asciiTheme="minorHAnsi" w:eastAsiaTheme="minorEastAsia" w:hAnsiTheme="minorHAnsi" w:cstheme="minorBidi"/>
              <w:noProof/>
              <w:color w:val="auto"/>
              <w:spacing w:val="0"/>
              <w:sz w:val="24"/>
              <w:szCs w:val="24"/>
              <w:lang w:val="fr-FR" w:eastAsia="ja-JP"/>
            </w:rPr>
            <w:tab/>
          </w:r>
          <w:r>
            <w:rPr>
              <w:noProof/>
            </w:rPr>
            <w:t>ESTEREL TECHNOLOGIES SCADE KCG and CompCert Coupling</w:t>
          </w:r>
          <w:r>
            <w:rPr>
              <w:noProof/>
            </w:rPr>
            <w:tab/>
          </w:r>
          <w:r>
            <w:rPr>
              <w:noProof/>
            </w:rPr>
            <w:fldChar w:fldCharType="begin"/>
          </w:r>
          <w:r>
            <w:rPr>
              <w:noProof/>
            </w:rPr>
            <w:instrText xml:space="preserve"> PAGEREF _Toc398225048 \h </w:instrText>
          </w:r>
          <w:r>
            <w:rPr>
              <w:noProof/>
            </w:rPr>
          </w:r>
          <w:r>
            <w:rPr>
              <w:noProof/>
            </w:rPr>
            <w:fldChar w:fldCharType="separate"/>
          </w:r>
          <w:r>
            <w:rPr>
              <w:noProof/>
            </w:rPr>
            <w:t>12</w:t>
          </w:r>
          <w:r>
            <w:rPr>
              <w:noProof/>
            </w:rPr>
            <w:fldChar w:fldCharType="end"/>
          </w:r>
        </w:p>
        <w:p w14:paraId="185086C1" w14:textId="77777777" w:rsidR="00B751CB" w:rsidRDefault="00B751CB">
          <w:pPr>
            <w:pStyle w:val="TOC4"/>
            <w:tabs>
              <w:tab w:val="left" w:pos="1314"/>
              <w:tab w:val="right" w:leader="dot" w:pos="10374"/>
            </w:tabs>
            <w:rPr>
              <w:rFonts w:asciiTheme="minorHAnsi" w:eastAsiaTheme="minorEastAsia" w:hAnsiTheme="minorHAnsi" w:cstheme="minorBidi"/>
              <w:noProof/>
              <w:color w:val="auto"/>
              <w:spacing w:val="0"/>
              <w:sz w:val="24"/>
              <w:szCs w:val="24"/>
              <w:lang w:val="fr-FR" w:eastAsia="ja-JP"/>
            </w:rPr>
          </w:pPr>
          <w:r>
            <w:rPr>
              <w:noProof/>
            </w:rPr>
            <w:t>2.3.5.</w:t>
          </w:r>
          <w:r>
            <w:rPr>
              <w:rFonts w:asciiTheme="minorHAnsi" w:eastAsiaTheme="minorEastAsia" w:hAnsiTheme="minorHAnsi" w:cstheme="minorBidi"/>
              <w:noProof/>
              <w:color w:val="auto"/>
              <w:spacing w:val="0"/>
              <w:sz w:val="24"/>
              <w:szCs w:val="24"/>
              <w:lang w:val="fr-FR" w:eastAsia="ja-JP"/>
            </w:rPr>
            <w:tab/>
          </w:r>
          <w:r>
            <w:rPr>
              <w:noProof/>
            </w:rPr>
            <w:t>Litmus</w:t>
          </w:r>
          <w:r>
            <w:rPr>
              <w:noProof/>
            </w:rPr>
            <w:tab/>
          </w:r>
          <w:r>
            <w:rPr>
              <w:noProof/>
            </w:rPr>
            <w:fldChar w:fldCharType="begin"/>
          </w:r>
          <w:r>
            <w:rPr>
              <w:noProof/>
            </w:rPr>
            <w:instrText xml:space="preserve"> PAGEREF _Toc398225049 \h </w:instrText>
          </w:r>
          <w:r>
            <w:rPr>
              <w:noProof/>
            </w:rPr>
          </w:r>
          <w:r>
            <w:rPr>
              <w:noProof/>
            </w:rPr>
            <w:fldChar w:fldCharType="separate"/>
          </w:r>
          <w:r>
            <w:rPr>
              <w:noProof/>
            </w:rPr>
            <w:t>14</w:t>
          </w:r>
          <w:r>
            <w:rPr>
              <w:noProof/>
            </w:rPr>
            <w:fldChar w:fldCharType="end"/>
          </w:r>
        </w:p>
        <w:p w14:paraId="644E55E7" w14:textId="77777777" w:rsidR="00B751CB" w:rsidRDefault="00B751CB">
          <w:pPr>
            <w:pStyle w:val="TOC3"/>
            <w:tabs>
              <w:tab w:val="left" w:pos="993"/>
            </w:tabs>
            <w:rPr>
              <w:rFonts w:asciiTheme="minorHAnsi" w:eastAsiaTheme="minorEastAsia" w:hAnsiTheme="minorHAnsi" w:cstheme="minorBidi"/>
              <w:i w:val="0"/>
              <w:iCs w:val="0"/>
              <w:color w:val="auto"/>
              <w:spacing w:val="0"/>
              <w:sz w:val="24"/>
              <w:szCs w:val="24"/>
              <w:lang w:val="fr-FR" w:eastAsia="ja-JP"/>
            </w:rPr>
          </w:pPr>
          <w:r>
            <w:t>2.4.</w:t>
          </w:r>
          <w:r>
            <w:rPr>
              <w:rFonts w:asciiTheme="minorHAnsi" w:eastAsiaTheme="minorEastAsia" w:hAnsiTheme="minorHAnsi" w:cstheme="minorBidi"/>
              <w:i w:val="0"/>
              <w:iCs w:val="0"/>
              <w:color w:val="auto"/>
              <w:spacing w:val="0"/>
              <w:sz w:val="24"/>
              <w:szCs w:val="24"/>
              <w:lang w:val="fr-FR" w:eastAsia="ja-JP"/>
            </w:rPr>
            <w:tab/>
          </w:r>
          <w:r>
            <w:t>Interface definitions</w:t>
          </w:r>
          <w:r>
            <w:tab/>
          </w:r>
          <w:r>
            <w:fldChar w:fldCharType="begin"/>
          </w:r>
          <w:r>
            <w:instrText xml:space="preserve"> PAGEREF _Toc398225050 \h </w:instrText>
          </w:r>
          <w:r>
            <w:fldChar w:fldCharType="separate"/>
          </w:r>
          <w:r>
            <w:t>14</w:t>
          </w:r>
          <w:r>
            <w:fldChar w:fldCharType="end"/>
          </w:r>
        </w:p>
        <w:p w14:paraId="2C427D2C" w14:textId="77777777" w:rsidR="00B751CB" w:rsidRDefault="00B751CB">
          <w:pPr>
            <w:pStyle w:val="TOC4"/>
            <w:tabs>
              <w:tab w:val="left" w:pos="1314"/>
              <w:tab w:val="right" w:leader="dot" w:pos="10374"/>
            </w:tabs>
            <w:rPr>
              <w:rFonts w:asciiTheme="minorHAnsi" w:eastAsiaTheme="minorEastAsia" w:hAnsiTheme="minorHAnsi" w:cstheme="minorBidi"/>
              <w:noProof/>
              <w:color w:val="auto"/>
              <w:spacing w:val="0"/>
              <w:sz w:val="24"/>
              <w:szCs w:val="24"/>
              <w:lang w:val="fr-FR" w:eastAsia="ja-JP"/>
            </w:rPr>
          </w:pPr>
          <w:r>
            <w:rPr>
              <w:noProof/>
            </w:rPr>
            <w:t>2.4.1.</w:t>
          </w:r>
          <w:r>
            <w:rPr>
              <w:rFonts w:asciiTheme="minorHAnsi" w:eastAsiaTheme="minorEastAsia" w:hAnsiTheme="minorHAnsi" w:cstheme="minorBidi"/>
              <w:noProof/>
              <w:color w:val="auto"/>
              <w:spacing w:val="0"/>
              <w:sz w:val="24"/>
              <w:szCs w:val="24"/>
              <w:lang w:val="fr-FR" w:eastAsia="ja-JP"/>
            </w:rPr>
            <w:tab/>
          </w:r>
          <w:r>
            <w:rPr>
              <w:noProof/>
            </w:rPr>
            <w:t>Common API for code generation on Kalray MPPA256</w:t>
          </w:r>
          <w:r>
            <w:rPr>
              <w:noProof/>
            </w:rPr>
            <w:tab/>
          </w:r>
          <w:r>
            <w:rPr>
              <w:noProof/>
            </w:rPr>
            <w:fldChar w:fldCharType="begin"/>
          </w:r>
          <w:r>
            <w:rPr>
              <w:noProof/>
            </w:rPr>
            <w:instrText xml:space="preserve"> PAGEREF _Toc398225051 \h </w:instrText>
          </w:r>
          <w:r>
            <w:rPr>
              <w:noProof/>
            </w:rPr>
          </w:r>
          <w:r>
            <w:rPr>
              <w:noProof/>
            </w:rPr>
            <w:fldChar w:fldCharType="separate"/>
          </w:r>
          <w:r>
            <w:rPr>
              <w:noProof/>
            </w:rPr>
            <w:t>14</w:t>
          </w:r>
          <w:r>
            <w:rPr>
              <w:noProof/>
            </w:rPr>
            <w:fldChar w:fldCharType="end"/>
          </w:r>
        </w:p>
        <w:p w14:paraId="0DC8DD4D" w14:textId="77777777" w:rsidR="00B751CB" w:rsidRDefault="00B751CB">
          <w:pPr>
            <w:pStyle w:val="TOC4"/>
            <w:tabs>
              <w:tab w:val="left" w:pos="1314"/>
              <w:tab w:val="right" w:leader="dot" w:pos="10374"/>
            </w:tabs>
            <w:rPr>
              <w:rFonts w:asciiTheme="minorHAnsi" w:eastAsiaTheme="minorEastAsia" w:hAnsiTheme="minorHAnsi" w:cstheme="minorBidi"/>
              <w:noProof/>
              <w:color w:val="auto"/>
              <w:spacing w:val="0"/>
              <w:sz w:val="24"/>
              <w:szCs w:val="24"/>
              <w:lang w:val="fr-FR" w:eastAsia="ja-JP"/>
            </w:rPr>
          </w:pPr>
          <w:r>
            <w:rPr>
              <w:noProof/>
            </w:rPr>
            <w:t>2.4.2.</w:t>
          </w:r>
          <w:r>
            <w:rPr>
              <w:rFonts w:asciiTheme="minorHAnsi" w:eastAsiaTheme="minorEastAsia" w:hAnsiTheme="minorHAnsi" w:cstheme="minorBidi"/>
              <w:noProof/>
              <w:color w:val="auto"/>
              <w:spacing w:val="0"/>
              <w:sz w:val="24"/>
              <w:szCs w:val="24"/>
              <w:lang w:val="fr-FR" w:eastAsia="ja-JP"/>
            </w:rPr>
            <w:tab/>
          </w:r>
          <w:r>
            <w:rPr>
              <w:noProof/>
            </w:rPr>
            <w:t>Calling conventions used in SCADE KCG code generation</w:t>
          </w:r>
          <w:r>
            <w:rPr>
              <w:noProof/>
            </w:rPr>
            <w:tab/>
          </w:r>
          <w:r>
            <w:rPr>
              <w:noProof/>
            </w:rPr>
            <w:fldChar w:fldCharType="begin"/>
          </w:r>
          <w:r>
            <w:rPr>
              <w:noProof/>
            </w:rPr>
            <w:instrText xml:space="preserve"> PAGEREF _Toc398225052 \h </w:instrText>
          </w:r>
          <w:r>
            <w:rPr>
              <w:noProof/>
            </w:rPr>
          </w:r>
          <w:r>
            <w:rPr>
              <w:noProof/>
            </w:rPr>
            <w:fldChar w:fldCharType="separate"/>
          </w:r>
          <w:r>
            <w:rPr>
              <w:noProof/>
            </w:rPr>
            <w:t>15</w:t>
          </w:r>
          <w:r>
            <w:rPr>
              <w:noProof/>
            </w:rPr>
            <w:fldChar w:fldCharType="end"/>
          </w:r>
        </w:p>
        <w:p w14:paraId="6DDE7E0E" w14:textId="77777777" w:rsidR="00B751CB" w:rsidRDefault="00B751CB">
          <w:pPr>
            <w:pStyle w:val="TOC4"/>
            <w:tabs>
              <w:tab w:val="left" w:pos="1472"/>
              <w:tab w:val="right" w:leader="dot" w:pos="10374"/>
            </w:tabs>
            <w:rPr>
              <w:rFonts w:asciiTheme="minorHAnsi" w:eastAsiaTheme="minorEastAsia" w:hAnsiTheme="minorHAnsi" w:cstheme="minorBidi"/>
              <w:noProof/>
              <w:color w:val="auto"/>
              <w:spacing w:val="0"/>
              <w:sz w:val="24"/>
              <w:szCs w:val="24"/>
              <w:lang w:val="fr-FR" w:eastAsia="ja-JP"/>
            </w:rPr>
          </w:pPr>
          <w:r>
            <w:rPr>
              <w:noProof/>
            </w:rPr>
            <w:t>2.4.2.1.</w:t>
          </w:r>
          <w:r>
            <w:rPr>
              <w:rFonts w:asciiTheme="minorHAnsi" w:eastAsiaTheme="minorEastAsia" w:hAnsiTheme="minorHAnsi" w:cstheme="minorBidi"/>
              <w:noProof/>
              <w:color w:val="auto"/>
              <w:spacing w:val="0"/>
              <w:sz w:val="24"/>
              <w:szCs w:val="24"/>
              <w:lang w:val="fr-FR" w:eastAsia="ja-JP"/>
            </w:rPr>
            <w:tab/>
          </w:r>
          <w:r>
            <w:rPr>
              <w:noProof/>
            </w:rPr>
            <w:t>Input model annotations</w:t>
          </w:r>
          <w:r>
            <w:rPr>
              <w:noProof/>
            </w:rPr>
            <w:tab/>
          </w:r>
          <w:r>
            <w:rPr>
              <w:noProof/>
            </w:rPr>
            <w:fldChar w:fldCharType="begin"/>
          </w:r>
          <w:r>
            <w:rPr>
              <w:noProof/>
            </w:rPr>
            <w:instrText xml:space="preserve"> PAGEREF _Toc398225053 \h </w:instrText>
          </w:r>
          <w:r>
            <w:rPr>
              <w:noProof/>
            </w:rPr>
          </w:r>
          <w:r>
            <w:rPr>
              <w:noProof/>
            </w:rPr>
            <w:fldChar w:fldCharType="separate"/>
          </w:r>
          <w:r>
            <w:rPr>
              <w:noProof/>
            </w:rPr>
            <w:t>15</w:t>
          </w:r>
          <w:r>
            <w:rPr>
              <w:noProof/>
            </w:rPr>
            <w:fldChar w:fldCharType="end"/>
          </w:r>
        </w:p>
        <w:p w14:paraId="0B96C9F0" w14:textId="77777777" w:rsidR="00B751CB" w:rsidRDefault="00B751CB">
          <w:pPr>
            <w:pStyle w:val="TOC4"/>
            <w:tabs>
              <w:tab w:val="left" w:pos="1472"/>
              <w:tab w:val="right" w:leader="dot" w:pos="10374"/>
            </w:tabs>
            <w:rPr>
              <w:rFonts w:asciiTheme="minorHAnsi" w:eastAsiaTheme="minorEastAsia" w:hAnsiTheme="minorHAnsi" w:cstheme="minorBidi"/>
              <w:noProof/>
              <w:color w:val="auto"/>
              <w:spacing w:val="0"/>
              <w:sz w:val="24"/>
              <w:szCs w:val="24"/>
              <w:lang w:val="fr-FR" w:eastAsia="ja-JP"/>
            </w:rPr>
          </w:pPr>
          <w:r>
            <w:rPr>
              <w:noProof/>
            </w:rPr>
            <w:t>2.4.2.2.</w:t>
          </w:r>
          <w:r>
            <w:rPr>
              <w:rFonts w:asciiTheme="minorHAnsi" w:eastAsiaTheme="minorEastAsia" w:hAnsiTheme="minorHAnsi" w:cstheme="minorBidi"/>
              <w:noProof/>
              <w:color w:val="auto"/>
              <w:spacing w:val="0"/>
              <w:sz w:val="24"/>
              <w:szCs w:val="24"/>
              <w:lang w:val="fr-FR" w:eastAsia="ja-JP"/>
            </w:rPr>
            <w:tab/>
          </w:r>
          <w:r>
            <w:rPr>
              <w:noProof/>
            </w:rPr>
            <w:t>Communication primitives</w:t>
          </w:r>
          <w:r>
            <w:rPr>
              <w:noProof/>
            </w:rPr>
            <w:tab/>
          </w:r>
          <w:r>
            <w:rPr>
              <w:noProof/>
            </w:rPr>
            <w:fldChar w:fldCharType="begin"/>
          </w:r>
          <w:r>
            <w:rPr>
              <w:noProof/>
            </w:rPr>
            <w:instrText xml:space="preserve"> PAGEREF _Toc398225054 \h </w:instrText>
          </w:r>
          <w:r>
            <w:rPr>
              <w:noProof/>
            </w:rPr>
          </w:r>
          <w:r>
            <w:rPr>
              <w:noProof/>
            </w:rPr>
            <w:fldChar w:fldCharType="separate"/>
          </w:r>
          <w:r>
            <w:rPr>
              <w:noProof/>
            </w:rPr>
            <w:t>16</w:t>
          </w:r>
          <w:r>
            <w:rPr>
              <w:noProof/>
            </w:rPr>
            <w:fldChar w:fldCharType="end"/>
          </w:r>
        </w:p>
        <w:p w14:paraId="32CDB090" w14:textId="77777777" w:rsidR="00B751CB" w:rsidRDefault="00B751CB">
          <w:pPr>
            <w:pStyle w:val="TOC4"/>
            <w:tabs>
              <w:tab w:val="left" w:pos="1472"/>
              <w:tab w:val="right" w:leader="dot" w:pos="10374"/>
            </w:tabs>
            <w:rPr>
              <w:rFonts w:asciiTheme="minorHAnsi" w:eastAsiaTheme="minorEastAsia" w:hAnsiTheme="minorHAnsi" w:cstheme="minorBidi"/>
              <w:noProof/>
              <w:color w:val="auto"/>
              <w:spacing w:val="0"/>
              <w:sz w:val="24"/>
              <w:szCs w:val="24"/>
              <w:lang w:val="fr-FR" w:eastAsia="ja-JP"/>
            </w:rPr>
          </w:pPr>
          <w:r>
            <w:rPr>
              <w:noProof/>
            </w:rPr>
            <w:t>2.4.2.3.</w:t>
          </w:r>
          <w:r>
            <w:rPr>
              <w:rFonts w:asciiTheme="minorHAnsi" w:eastAsiaTheme="minorEastAsia" w:hAnsiTheme="minorHAnsi" w:cstheme="minorBidi"/>
              <w:noProof/>
              <w:color w:val="auto"/>
              <w:spacing w:val="0"/>
              <w:sz w:val="24"/>
              <w:szCs w:val="24"/>
              <w:lang w:val="fr-FR" w:eastAsia="ja-JP"/>
            </w:rPr>
            <w:tab/>
          </w:r>
          <w:r>
            <w:rPr>
              <w:noProof/>
            </w:rPr>
            <w:t>Worker</w:t>
          </w:r>
          <w:r>
            <w:rPr>
              <w:noProof/>
            </w:rPr>
            <w:tab/>
          </w:r>
          <w:r>
            <w:rPr>
              <w:noProof/>
            </w:rPr>
            <w:fldChar w:fldCharType="begin"/>
          </w:r>
          <w:r>
            <w:rPr>
              <w:noProof/>
            </w:rPr>
            <w:instrText xml:space="preserve"> PAGEREF _Toc398225055 \h </w:instrText>
          </w:r>
          <w:r>
            <w:rPr>
              <w:noProof/>
            </w:rPr>
          </w:r>
          <w:r>
            <w:rPr>
              <w:noProof/>
            </w:rPr>
            <w:fldChar w:fldCharType="separate"/>
          </w:r>
          <w:r>
            <w:rPr>
              <w:noProof/>
            </w:rPr>
            <w:t>16</w:t>
          </w:r>
          <w:r>
            <w:rPr>
              <w:noProof/>
            </w:rPr>
            <w:fldChar w:fldCharType="end"/>
          </w:r>
        </w:p>
        <w:p w14:paraId="17FB5CE1" w14:textId="77777777" w:rsidR="00B751CB" w:rsidRDefault="00B751CB">
          <w:pPr>
            <w:pStyle w:val="TOC4"/>
            <w:tabs>
              <w:tab w:val="left" w:pos="1472"/>
              <w:tab w:val="right" w:leader="dot" w:pos="10374"/>
            </w:tabs>
            <w:rPr>
              <w:rFonts w:asciiTheme="minorHAnsi" w:eastAsiaTheme="minorEastAsia" w:hAnsiTheme="minorHAnsi" w:cstheme="minorBidi"/>
              <w:noProof/>
              <w:color w:val="auto"/>
              <w:spacing w:val="0"/>
              <w:sz w:val="24"/>
              <w:szCs w:val="24"/>
              <w:lang w:val="fr-FR" w:eastAsia="ja-JP"/>
            </w:rPr>
          </w:pPr>
          <w:r>
            <w:rPr>
              <w:noProof/>
            </w:rPr>
            <w:t>2.4.2.4.</w:t>
          </w:r>
          <w:r>
            <w:rPr>
              <w:rFonts w:asciiTheme="minorHAnsi" w:eastAsiaTheme="minorEastAsia" w:hAnsiTheme="minorHAnsi" w:cstheme="minorBidi"/>
              <w:noProof/>
              <w:color w:val="auto"/>
              <w:spacing w:val="0"/>
              <w:sz w:val="24"/>
              <w:szCs w:val="24"/>
              <w:lang w:val="fr-FR" w:eastAsia="ja-JP"/>
            </w:rPr>
            <w:tab/>
          </w:r>
          <w:r>
            <w:rPr>
              <w:noProof/>
            </w:rPr>
            <w:t>Integration on Specific Targets</w:t>
          </w:r>
          <w:r>
            <w:rPr>
              <w:noProof/>
            </w:rPr>
            <w:tab/>
          </w:r>
          <w:r>
            <w:rPr>
              <w:noProof/>
            </w:rPr>
            <w:fldChar w:fldCharType="begin"/>
          </w:r>
          <w:r>
            <w:rPr>
              <w:noProof/>
            </w:rPr>
            <w:instrText xml:space="preserve"> PAGEREF _Toc398225056 \h </w:instrText>
          </w:r>
          <w:r>
            <w:rPr>
              <w:noProof/>
            </w:rPr>
          </w:r>
          <w:r>
            <w:rPr>
              <w:noProof/>
            </w:rPr>
            <w:fldChar w:fldCharType="separate"/>
          </w:r>
          <w:r>
            <w:rPr>
              <w:noProof/>
            </w:rPr>
            <w:t>16</w:t>
          </w:r>
          <w:r>
            <w:rPr>
              <w:noProof/>
            </w:rPr>
            <w:fldChar w:fldCharType="end"/>
          </w:r>
        </w:p>
        <w:p w14:paraId="2126F20A" w14:textId="77777777" w:rsidR="00B751CB" w:rsidRDefault="00B751CB">
          <w:pPr>
            <w:pStyle w:val="TOC4"/>
            <w:tabs>
              <w:tab w:val="left" w:pos="1314"/>
              <w:tab w:val="right" w:leader="dot" w:pos="10374"/>
            </w:tabs>
            <w:rPr>
              <w:rFonts w:asciiTheme="minorHAnsi" w:eastAsiaTheme="minorEastAsia" w:hAnsiTheme="minorHAnsi" w:cstheme="minorBidi"/>
              <w:noProof/>
              <w:color w:val="auto"/>
              <w:spacing w:val="0"/>
              <w:sz w:val="24"/>
              <w:szCs w:val="24"/>
              <w:lang w:val="fr-FR" w:eastAsia="ja-JP"/>
            </w:rPr>
          </w:pPr>
          <w:r>
            <w:rPr>
              <w:noProof/>
            </w:rPr>
            <w:t>2.4.3.</w:t>
          </w:r>
          <w:r>
            <w:rPr>
              <w:rFonts w:asciiTheme="minorHAnsi" w:eastAsiaTheme="minorEastAsia" w:hAnsiTheme="minorHAnsi" w:cstheme="minorBidi"/>
              <w:noProof/>
              <w:color w:val="auto"/>
              <w:spacing w:val="0"/>
              <w:sz w:val="24"/>
              <w:szCs w:val="24"/>
              <w:lang w:val="fr-FR" w:eastAsia="ja-JP"/>
            </w:rPr>
            <w:tab/>
          </w:r>
          <w:r>
            <w:rPr>
              <w:noProof/>
            </w:rPr>
            <w:t>Non-functional annotations in Heptagon</w:t>
          </w:r>
          <w:r>
            <w:rPr>
              <w:noProof/>
            </w:rPr>
            <w:tab/>
          </w:r>
          <w:r>
            <w:rPr>
              <w:noProof/>
            </w:rPr>
            <w:fldChar w:fldCharType="begin"/>
          </w:r>
          <w:r>
            <w:rPr>
              <w:noProof/>
            </w:rPr>
            <w:instrText xml:space="preserve"> PAGEREF _Toc398225057 \h </w:instrText>
          </w:r>
          <w:r>
            <w:rPr>
              <w:noProof/>
            </w:rPr>
          </w:r>
          <w:r>
            <w:rPr>
              <w:noProof/>
            </w:rPr>
            <w:fldChar w:fldCharType="separate"/>
          </w:r>
          <w:r>
            <w:rPr>
              <w:noProof/>
            </w:rPr>
            <w:t>17</w:t>
          </w:r>
          <w:r>
            <w:rPr>
              <w:noProof/>
            </w:rPr>
            <w:fldChar w:fldCharType="end"/>
          </w:r>
        </w:p>
        <w:p w14:paraId="6E203C5A" w14:textId="77777777" w:rsidR="00B751CB" w:rsidRDefault="00B751CB">
          <w:pPr>
            <w:pStyle w:val="TOC2"/>
            <w:tabs>
              <w:tab w:val="left" w:pos="613"/>
            </w:tabs>
            <w:rPr>
              <w:rFonts w:asciiTheme="minorHAnsi" w:eastAsiaTheme="minorEastAsia" w:hAnsiTheme="minorHAnsi" w:cstheme="minorBidi"/>
              <w:smallCaps w:val="0"/>
              <w:color w:val="auto"/>
              <w:spacing w:val="0"/>
              <w:sz w:val="24"/>
              <w:szCs w:val="24"/>
              <w:lang w:val="fr-FR" w:eastAsia="ja-JP"/>
            </w:rPr>
          </w:pPr>
          <w:r>
            <w:t>3.</w:t>
          </w:r>
          <w:r>
            <w:rPr>
              <w:rFonts w:asciiTheme="minorHAnsi" w:eastAsiaTheme="minorEastAsia" w:hAnsiTheme="minorHAnsi" w:cstheme="minorBidi"/>
              <w:smallCaps w:val="0"/>
              <w:color w:val="auto"/>
              <w:spacing w:val="0"/>
              <w:sz w:val="24"/>
              <w:szCs w:val="24"/>
              <w:lang w:val="fr-FR" w:eastAsia="ja-JP"/>
            </w:rPr>
            <w:tab/>
          </w:r>
          <w:r>
            <w:t>Fault tolerant vision cluster</w:t>
          </w:r>
          <w:r>
            <w:tab/>
          </w:r>
          <w:r>
            <w:fldChar w:fldCharType="begin"/>
          </w:r>
          <w:r>
            <w:instrText xml:space="preserve"> PAGEREF _Toc398225058 \h </w:instrText>
          </w:r>
          <w:r>
            <w:fldChar w:fldCharType="separate"/>
          </w:r>
          <w:r>
            <w:t>19</w:t>
          </w:r>
          <w:r>
            <w:fldChar w:fldCharType="end"/>
          </w:r>
        </w:p>
        <w:p w14:paraId="65B836EA" w14:textId="77777777" w:rsidR="00B751CB" w:rsidRDefault="00B751CB">
          <w:pPr>
            <w:pStyle w:val="TOC3"/>
            <w:tabs>
              <w:tab w:val="left" w:pos="993"/>
            </w:tabs>
            <w:rPr>
              <w:rFonts w:asciiTheme="minorHAnsi" w:eastAsiaTheme="minorEastAsia" w:hAnsiTheme="minorHAnsi" w:cstheme="minorBidi"/>
              <w:i w:val="0"/>
              <w:iCs w:val="0"/>
              <w:color w:val="auto"/>
              <w:spacing w:val="0"/>
              <w:sz w:val="24"/>
              <w:szCs w:val="24"/>
              <w:lang w:val="fr-FR" w:eastAsia="ja-JP"/>
            </w:rPr>
          </w:pPr>
          <w:r>
            <w:t>3.1.</w:t>
          </w:r>
          <w:r>
            <w:rPr>
              <w:rFonts w:asciiTheme="minorHAnsi" w:eastAsiaTheme="minorEastAsia" w:hAnsiTheme="minorHAnsi" w:cstheme="minorBidi"/>
              <w:i w:val="0"/>
              <w:iCs w:val="0"/>
              <w:color w:val="auto"/>
              <w:spacing w:val="0"/>
              <w:sz w:val="24"/>
              <w:szCs w:val="24"/>
              <w:lang w:val="fr-FR" w:eastAsia="ja-JP"/>
            </w:rPr>
            <w:tab/>
          </w:r>
          <w:r>
            <w:t>Analysis of industrial use cases and requirements</w:t>
          </w:r>
          <w:r>
            <w:tab/>
          </w:r>
          <w:r>
            <w:fldChar w:fldCharType="begin"/>
          </w:r>
          <w:r>
            <w:instrText xml:space="preserve"> PAGEREF _Toc398225059 \h </w:instrText>
          </w:r>
          <w:r>
            <w:fldChar w:fldCharType="separate"/>
          </w:r>
          <w:r>
            <w:t>19</w:t>
          </w:r>
          <w:r>
            <w:fldChar w:fldCharType="end"/>
          </w:r>
        </w:p>
        <w:p w14:paraId="671F9056" w14:textId="77777777" w:rsidR="00B751CB" w:rsidRDefault="00B751CB">
          <w:pPr>
            <w:pStyle w:val="TOC3"/>
            <w:tabs>
              <w:tab w:val="left" w:pos="993"/>
            </w:tabs>
            <w:rPr>
              <w:rFonts w:asciiTheme="minorHAnsi" w:eastAsiaTheme="minorEastAsia" w:hAnsiTheme="minorHAnsi" w:cstheme="minorBidi"/>
              <w:i w:val="0"/>
              <w:iCs w:val="0"/>
              <w:color w:val="auto"/>
              <w:spacing w:val="0"/>
              <w:sz w:val="24"/>
              <w:szCs w:val="24"/>
              <w:lang w:val="fr-FR" w:eastAsia="ja-JP"/>
            </w:rPr>
          </w:pPr>
          <w:r>
            <w:t>3.2.</w:t>
          </w:r>
          <w:r>
            <w:rPr>
              <w:rFonts w:asciiTheme="minorHAnsi" w:eastAsiaTheme="minorEastAsia" w:hAnsiTheme="minorHAnsi" w:cstheme="minorBidi"/>
              <w:i w:val="0"/>
              <w:iCs w:val="0"/>
              <w:color w:val="auto"/>
              <w:spacing w:val="0"/>
              <w:sz w:val="24"/>
              <w:szCs w:val="24"/>
              <w:lang w:val="fr-FR" w:eastAsia="ja-JP"/>
            </w:rPr>
            <w:tab/>
          </w:r>
          <w:r>
            <w:t>Proposed tools and methods</w:t>
          </w:r>
          <w:r>
            <w:tab/>
          </w:r>
          <w:r>
            <w:fldChar w:fldCharType="begin"/>
          </w:r>
          <w:r>
            <w:instrText xml:space="preserve"> PAGEREF _Toc398225060 \h </w:instrText>
          </w:r>
          <w:r>
            <w:fldChar w:fldCharType="separate"/>
          </w:r>
          <w:r>
            <w:t>19</w:t>
          </w:r>
          <w:r>
            <w:fldChar w:fldCharType="end"/>
          </w:r>
        </w:p>
        <w:p w14:paraId="40F13192" w14:textId="77777777" w:rsidR="00B751CB" w:rsidRDefault="00B751CB">
          <w:pPr>
            <w:pStyle w:val="TOC4"/>
            <w:tabs>
              <w:tab w:val="left" w:pos="1314"/>
              <w:tab w:val="right" w:leader="dot" w:pos="10374"/>
            </w:tabs>
            <w:rPr>
              <w:rFonts w:asciiTheme="minorHAnsi" w:eastAsiaTheme="minorEastAsia" w:hAnsiTheme="minorHAnsi" w:cstheme="minorBidi"/>
              <w:noProof/>
              <w:color w:val="auto"/>
              <w:spacing w:val="0"/>
              <w:sz w:val="24"/>
              <w:szCs w:val="24"/>
              <w:lang w:val="fr-FR" w:eastAsia="ja-JP"/>
            </w:rPr>
          </w:pPr>
          <w:r>
            <w:rPr>
              <w:noProof/>
            </w:rPr>
            <w:t>3.2.1.</w:t>
          </w:r>
          <w:r>
            <w:rPr>
              <w:rFonts w:asciiTheme="minorHAnsi" w:eastAsiaTheme="minorEastAsia" w:hAnsiTheme="minorHAnsi" w:cstheme="minorBidi"/>
              <w:noProof/>
              <w:color w:val="auto"/>
              <w:spacing w:val="0"/>
              <w:sz w:val="24"/>
              <w:szCs w:val="24"/>
              <w:lang w:val="fr-FR" w:eastAsia="ja-JP"/>
            </w:rPr>
            <w:tab/>
          </w:r>
          <w:r>
            <w:rPr>
              <w:noProof/>
            </w:rPr>
            <w:t>HAPI dataflow simulator</w:t>
          </w:r>
          <w:r>
            <w:rPr>
              <w:noProof/>
            </w:rPr>
            <w:tab/>
          </w:r>
          <w:r>
            <w:rPr>
              <w:noProof/>
            </w:rPr>
            <w:fldChar w:fldCharType="begin"/>
          </w:r>
          <w:r>
            <w:rPr>
              <w:noProof/>
            </w:rPr>
            <w:instrText xml:space="preserve"> PAGEREF _Toc398225061 \h </w:instrText>
          </w:r>
          <w:r>
            <w:rPr>
              <w:noProof/>
            </w:rPr>
          </w:r>
          <w:r>
            <w:rPr>
              <w:noProof/>
            </w:rPr>
            <w:fldChar w:fldCharType="separate"/>
          </w:r>
          <w:r>
            <w:rPr>
              <w:noProof/>
            </w:rPr>
            <w:t>19</w:t>
          </w:r>
          <w:r>
            <w:rPr>
              <w:noProof/>
            </w:rPr>
            <w:fldChar w:fldCharType="end"/>
          </w:r>
        </w:p>
        <w:p w14:paraId="00079153" w14:textId="77777777" w:rsidR="00B751CB" w:rsidRDefault="00B751CB">
          <w:pPr>
            <w:pStyle w:val="TOC4"/>
            <w:tabs>
              <w:tab w:val="left" w:pos="1314"/>
              <w:tab w:val="right" w:leader="dot" w:pos="10374"/>
            </w:tabs>
            <w:rPr>
              <w:rFonts w:asciiTheme="minorHAnsi" w:eastAsiaTheme="minorEastAsia" w:hAnsiTheme="minorHAnsi" w:cstheme="minorBidi"/>
              <w:noProof/>
              <w:color w:val="auto"/>
              <w:spacing w:val="0"/>
              <w:sz w:val="24"/>
              <w:szCs w:val="24"/>
              <w:lang w:val="fr-FR" w:eastAsia="ja-JP"/>
            </w:rPr>
          </w:pPr>
          <w:r>
            <w:rPr>
              <w:noProof/>
            </w:rPr>
            <w:t>3.2.2.</w:t>
          </w:r>
          <w:r>
            <w:rPr>
              <w:rFonts w:asciiTheme="minorHAnsi" w:eastAsiaTheme="minorEastAsia" w:hAnsiTheme="minorHAnsi" w:cstheme="minorBidi"/>
              <w:noProof/>
              <w:color w:val="auto"/>
              <w:spacing w:val="0"/>
              <w:sz w:val="24"/>
              <w:szCs w:val="24"/>
              <w:lang w:val="fr-FR" w:eastAsia="ja-JP"/>
            </w:rPr>
            <w:tab/>
          </w:r>
          <w:r>
            <w:rPr>
              <w:noProof/>
            </w:rPr>
            <w:t>Making (FPGA-based) Hardware Fault Tolerant using Error-Rate Assessment</w:t>
          </w:r>
          <w:r>
            <w:rPr>
              <w:noProof/>
            </w:rPr>
            <w:tab/>
          </w:r>
          <w:r>
            <w:rPr>
              <w:noProof/>
            </w:rPr>
            <w:fldChar w:fldCharType="begin"/>
          </w:r>
          <w:r>
            <w:rPr>
              <w:noProof/>
            </w:rPr>
            <w:instrText xml:space="preserve"> PAGEREF _Toc398225062 \h </w:instrText>
          </w:r>
          <w:r>
            <w:rPr>
              <w:noProof/>
            </w:rPr>
          </w:r>
          <w:r>
            <w:rPr>
              <w:noProof/>
            </w:rPr>
            <w:fldChar w:fldCharType="separate"/>
          </w:r>
          <w:r>
            <w:rPr>
              <w:noProof/>
            </w:rPr>
            <w:t>20</w:t>
          </w:r>
          <w:r>
            <w:rPr>
              <w:noProof/>
            </w:rPr>
            <w:fldChar w:fldCharType="end"/>
          </w:r>
        </w:p>
        <w:p w14:paraId="3D5EC41E" w14:textId="77777777" w:rsidR="00B751CB" w:rsidRDefault="00B751CB">
          <w:pPr>
            <w:pStyle w:val="TOC4"/>
            <w:tabs>
              <w:tab w:val="left" w:pos="1314"/>
              <w:tab w:val="right" w:leader="dot" w:pos="10374"/>
            </w:tabs>
            <w:rPr>
              <w:rFonts w:asciiTheme="minorHAnsi" w:eastAsiaTheme="minorEastAsia" w:hAnsiTheme="minorHAnsi" w:cstheme="minorBidi"/>
              <w:noProof/>
              <w:color w:val="auto"/>
              <w:spacing w:val="0"/>
              <w:sz w:val="24"/>
              <w:szCs w:val="24"/>
              <w:lang w:val="fr-FR" w:eastAsia="ja-JP"/>
            </w:rPr>
          </w:pPr>
          <w:r>
            <w:rPr>
              <w:noProof/>
            </w:rPr>
            <w:t>3.2.3.</w:t>
          </w:r>
          <w:r>
            <w:rPr>
              <w:rFonts w:asciiTheme="minorHAnsi" w:eastAsiaTheme="minorEastAsia" w:hAnsiTheme="minorHAnsi" w:cstheme="minorBidi"/>
              <w:noProof/>
              <w:color w:val="auto"/>
              <w:spacing w:val="0"/>
              <w:sz w:val="24"/>
              <w:szCs w:val="24"/>
              <w:lang w:val="fr-FR" w:eastAsia="ja-JP"/>
            </w:rPr>
            <w:tab/>
          </w:r>
          <w:r>
            <w:rPr>
              <w:noProof/>
            </w:rPr>
            <w:t>Approximate DMR-based Reliable Vector Processor</w:t>
          </w:r>
          <w:r>
            <w:rPr>
              <w:noProof/>
            </w:rPr>
            <w:tab/>
          </w:r>
          <w:r>
            <w:rPr>
              <w:noProof/>
            </w:rPr>
            <w:fldChar w:fldCharType="begin"/>
          </w:r>
          <w:r>
            <w:rPr>
              <w:noProof/>
            </w:rPr>
            <w:instrText xml:space="preserve"> PAGEREF _Toc398225063 \h </w:instrText>
          </w:r>
          <w:r>
            <w:rPr>
              <w:noProof/>
            </w:rPr>
          </w:r>
          <w:r>
            <w:rPr>
              <w:noProof/>
            </w:rPr>
            <w:fldChar w:fldCharType="separate"/>
          </w:r>
          <w:r>
            <w:rPr>
              <w:noProof/>
            </w:rPr>
            <w:t>21</w:t>
          </w:r>
          <w:r>
            <w:rPr>
              <w:noProof/>
            </w:rPr>
            <w:fldChar w:fldCharType="end"/>
          </w:r>
        </w:p>
        <w:p w14:paraId="779677C2" w14:textId="77777777" w:rsidR="00B751CB" w:rsidRDefault="00B751CB">
          <w:pPr>
            <w:pStyle w:val="TOC4"/>
            <w:tabs>
              <w:tab w:val="left" w:pos="1314"/>
              <w:tab w:val="right" w:leader="dot" w:pos="10374"/>
            </w:tabs>
            <w:rPr>
              <w:rFonts w:asciiTheme="minorHAnsi" w:eastAsiaTheme="minorEastAsia" w:hAnsiTheme="minorHAnsi" w:cstheme="minorBidi"/>
              <w:noProof/>
              <w:color w:val="auto"/>
              <w:spacing w:val="0"/>
              <w:sz w:val="24"/>
              <w:szCs w:val="24"/>
              <w:lang w:val="fr-FR" w:eastAsia="ja-JP"/>
            </w:rPr>
          </w:pPr>
          <w:r>
            <w:rPr>
              <w:noProof/>
            </w:rPr>
            <w:t>3.2.4.</w:t>
          </w:r>
          <w:r>
            <w:rPr>
              <w:rFonts w:asciiTheme="minorHAnsi" w:eastAsiaTheme="minorEastAsia" w:hAnsiTheme="minorHAnsi" w:cstheme="minorBidi"/>
              <w:noProof/>
              <w:color w:val="auto"/>
              <w:spacing w:val="0"/>
              <w:sz w:val="24"/>
              <w:szCs w:val="24"/>
              <w:lang w:val="fr-FR" w:eastAsia="ja-JP"/>
            </w:rPr>
            <w:tab/>
          </w:r>
          <w:r>
            <w:rPr>
              <w:noProof/>
            </w:rPr>
            <w:t>Particle filter based state estimation algorithm</w:t>
          </w:r>
          <w:r>
            <w:rPr>
              <w:noProof/>
            </w:rPr>
            <w:tab/>
          </w:r>
          <w:r>
            <w:rPr>
              <w:noProof/>
            </w:rPr>
            <w:fldChar w:fldCharType="begin"/>
          </w:r>
          <w:r>
            <w:rPr>
              <w:noProof/>
            </w:rPr>
            <w:instrText xml:space="preserve"> PAGEREF _Toc398225064 \h </w:instrText>
          </w:r>
          <w:r>
            <w:rPr>
              <w:noProof/>
            </w:rPr>
          </w:r>
          <w:r>
            <w:rPr>
              <w:noProof/>
            </w:rPr>
            <w:fldChar w:fldCharType="separate"/>
          </w:r>
          <w:r>
            <w:rPr>
              <w:noProof/>
            </w:rPr>
            <w:t>22</w:t>
          </w:r>
          <w:r>
            <w:rPr>
              <w:noProof/>
            </w:rPr>
            <w:fldChar w:fldCharType="end"/>
          </w:r>
        </w:p>
        <w:p w14:paraId="627D322E" w14:textId="77777777" w:rsidR="00B751CB" w:rsidRDefault="00B751CB">
          <w:pPr>
            <w:pStyle w:val="TOC4"/>
            <w:tabs>
              <w:tab w:val="left" w:pos="1314"/>
              <w:tab w:val="right" w:leader="dot" w:pos="10374"/>
            </w:tabs>
            <w:rPr>
              <w:rFonts w:asciiTheme="minorHAnsi" w:eastAsiaTheme="minorEastAsia" w:hAnsiTheme="minorHAnsi" w:cstheme="minorBidi"/>
              <w:noProof/>
              <w:color w:val="auto"/>
              <w:spacing w:val="0"/>
              <w:sz w:val="24"/>
              <w:szCs w:val="24"/>
              <w:lang w:val="fr-FR" w:eastAsia="ja-JP"/>
            </w:rPr>
          </w:pPr>
          <w:r>
            <w:rPr>
              <w:noProof/>
            </w:rPr>
            <w:t>3.2.5.</w:t>
          </w:r>
          <w:r>
            <w:rPr>
              <w:rFonts w:asciiTheme="minorHAnsi" w:eastAsiaTheme="minorEastAsia" w:hAnsiTheme="minorHAnsi" w:cstheme="minorBidi"/>
              <w:noProof/>
              <w:color w:val="auto"/>
              <w:spacing w:val="0"/>
              <w:sz w:val="24"/>
              <w:szCs w:val="24"/>
              <w:lang w:val="fr-FR" w:eastAsia="ja-JP"/>
            </w:rPr>
            <w:tab/>
          </w:r>
          <w:r>
            <w:rPr>
              <w:noProof/>
            </w:rPr>
            <w:t>Fault-Tolerant Network-on-Chip architecture</w:t>
          </w:r>
          <w:r>
            <w:rPr>
              <w:noProof/>
            </w:rPr>
            <w:tab/>
          </w:r>
          <w:r>
            <w:rPr>
              <w:noProof/>
            </w:rPr>
            <w:fldChar w:fldCharType="begin"/>
          </w:r>
          <w:r>
            <w:rPr>
              <w:noProof/>
            </w:rPr>
            <w:instrText xml:space="preserve"> PAGEREF _Toc398225065 \h </w:instrText>
          </w:r>
          <w:r>
            <w:rPr>
              <w:noProof/>
            </w:rPr>
          </w:r>
          <w:r>
            <w:rPr>
              <w:noProof/>
            </w:rPr>
            <w:fldChar w:fldCharType="separate"/>
          </w:r>
          <w:r>
            <w:rPr>
              <w:noProof/>
            </w:rPr>
            <w:t>22</w:t>
          </w:r>
          <w:r>
            <w:rPr>
              <w:noProof/>
            </w:rPr>
            <w:fldChar w:fldCharType="end"/>
          </w:r>
        </w:p>
        <w:p w14:paraId="77FAED58" w14:textId="77777777" w:rsidR="00B751CB" w:rsidRDefault="00B751CB">
          <w:pPr>
            <w:pStyle w:val="TOC4"/>
            <w:tabs>
              <w:tab w:val="left" w:pos="1314"/>
              <w:tab w:val="right" w:leader="dot" w:pos="10374"/>
            </w:tabs>
            <w:rPr>
              <w:rFonts w:asciiTheme="minorHAnsi" w:eastAsiaTheme="minorEastAsia" w:hAnsiTheme="minorHAnsi" w:cstheme="minorBidi"/>
              <w:noProof/>
              <w:color w:val="auto"/>
              <w:spacing w:val="0"/>
              <w:sz w:val="24"/>
              <w:szCs w:val="24"/>
              <w:lang w:val="fr-FR" w:eastAsia="ja-JP"/>
            </w:rPr>
          </w:pPr>
          <w:r>
            <w:rPr>
              <w:noProof/>
            </w:rPr>
            <w:t>3.2.6.</w:t>
          </w:r>
          <w:r>
            <w:rPr>
              <w:rFonts w:asciiTheme="minorHAnsi" w:eastAsiaTheme="minorEastAsia" w:hAnsiTheme="minorHAnsi" w:cstheme="minorBidi"/>
              <w:noProof/>
              <w:color w:val="auto"/>
              <w:spacing w:val="0"/>
              <w:sz w:val="24"/>
              <w:szCs w:val="24"/>
              <w:lang w:val="fr-FR" w:eastAsia="ja-JP"/>
            </w:rPr>
            <w:tab/>
          </w:r>
          <w:r>
            <w:rPr>
              <w:noProof/>
            </w:rPr>
            <w:t>Fault tolerance in embedded real time multicore systems for dataflow applications</w:t>
          </w:r>
          <w:r>
            <w:rPr>
              <w:noProof/>
            </w:rPr>
            <w:tab/>
          </w:r>
          <w:r>
            <w:rPr>
              <w:noProof/>
            </w:rPr>
            <w:fldChar w:fldCharType="begin"/>
          </w:r>
          <w:r>
            <w:rPr>
              <w:noProof/>
            </w:rPr>
            <w:instrText xml:space="preserve"> PAGEREF _Toc398225066 \h </w:instrText>
          </w:r>
          <w:r>
            <w:rPr>
              <w:noProof/>
            </w:rPr>
          </w:r>
          <w:r>
            <w:rPr>
              <w:noProof/>
            </w:rPr>
            <w:fldChar w:fldCharType="separate"/>
          </w:r>
          <w:r>
            <w:rPr>
              <w:noProof/>
            </w:rPr>
            <w:t>23</w:t>
          </w:r>
          <w:r>
            <w:rPr>
              <w:noProof/>
            </w:rPr>
            <w:fldChar w:fldCharType="end"/>
          </w:r>
        </w:p>
        <w:p w14:paraId="7070329D" w14:textId="77777777" w:rsidR="00B751CB" w:rsidRDefault="00B751CB">
          <w:pPr>
            <w:pStyle w:val="TOC2"/>
            <w:tabs>
              <w:tab w:val="left" w:pos="613"/>
            </w:tabs>
            <w:rPr>
              <w:rFonts w:asciiTheme="minorHAnsi" w:eastAsiaTheme="minorEastAsia" w:hAnsiTheme="minorHAnsi" w:cstheme="minorBidi"/>
              <w:smallCaps w:val="0"/>
              <w:color w:val="auto"/>
              <w:spacing w:val="0"/>
              <w:sz w:val="24"/>
              <w:szCs w:val="24"/>
              <w:lang w:val="fr-FR" w:eastAsia="ja-JP"/>
            </w:rPr>
          </w:pPr>
          <w:r>
            <w:t>4.</w:t>
          </w:r>
          <w:r>
            <w:rPr>
              <w:rFonts w:asciiTheme="minorHAnsi" w:eastAsiaTheme="minorEastAsia" w:hAnsiTheme="minorHAnsi" w:cstheme="minorBidi"/>
              <w:smallCaps w:val="0"/>
              <w:color w:val="auto"/>
              <w:spacing w:val="0"/>
              <w:sz w:val="24"/>
              <w:szCs w:val="24"/>
              <w:lang w:val="fr-FR" w:eastAsia="ja-JP"/>
            </w:rPr>
            <w:tab/>
          </w:r>
          <w:r>
            <w:t>Safe vehicle control cluster</w:t>
          </w:r>
          <w:r>
            <w:tab/>
          </w:r>
          <w:r>
            <w:fldChar w:fldCharType="begin"/>
          </w:r>
          <w:r>
            <w:instrText xml:space="preserve"> PAGEREF _Toc398225067 \h </w:instrText>
          </w:r>
          <w:r>
            <w:fldChar w:fldCharType="separate"/>
          </w:r>
          <w:r>
            <w:t>25</w:t>
          </w:r>
          <w:r>
            <w:fldChar w:fldCharType="end"/>
          </w:r>
        </w:p>
        <w:p w14:paraId="1B52B5BC" w14:textId="77777777" w:rsidR="00B751CB" w:rsidRDefault="00B751CB">
          <w:pPr>
            <w:pStyle w:val="TOC3"/>
            <w:tabs>
              <w:tab w:val="left" w:pos="993"/>
            </w:tabs>
            <w:rPr>
              <w:rFonts w:asciiTheme="minorHAnsi" w:eastAsiaTheme="minorEastAsia" w:hAnsiTheme="minorHAnsi" w:cstheme="minorBidi"/>
              <w:i w:val="0"/>
              <w:iCs w:val="0"/>
              <w:color w:val="auto"/>
              <w:spacing w:val="0"/>
              <w:sz w:val="24"/>
              <w:szCs w:val="24"/>
              <w:lang w:val="fr-FR" w:eastAsia="ja-JP"/>
            </w:rPr>
          </w:pPr>
          <w:r>
            <w:t>4.1.</w:t>
          </w:r>
          <w:r>
            <w:rPr>
              <w:rFonts w:asciiTheme="minorHAnsi" w:eastAsiaTheme="minorEastAsia" w:hAnsiTheme="minorHAnsi" w:cstheme="minorBidi"/>
              <w:i w:val="0"/>
              <w:iCs w:val="0"/>
              <w:color w:val="auto"/>
              <w:spacing w:val="0"/>
              <w:sz w:val="24"/>
              <w:szCs w:val="24"/>
              <w:lang w:val="fr-FR" w:eastAsia="ja-JP"/>
            </w:rPr>
            <w:tab/>
          </w:r>
          <w:r>
            <w:t>Analysis of industrial use cases and requirements</w:t>
          </w:r>
          <w:r>
            <w:tab/>
          </w:r>
          <w:r>
            <w:fldChar w:fldCharType="begin"/>
          </w:r>
          <w:r>
            <w:instrText xml:space="preserve"> PAGEREF _Toc398225068 \h </w:instrText>
          </w:r>
          <w:r>
            <w:fldChar w:fldCharType="separate"/>
          </w:r>
          <w:r>
            <w:t>25</w:t>
          </w:r>
          <w:r>
            <w:fldChar w:fldCharType="end"/>
          </w:r>
        </w:p>
        <w:p w14:paraId="4F12BB26" w14:textId="77777777" w:rsidR="00B751CB" w:rsidRDefault="00B751CB">
          <w:pPr>
            <w:pStyle w:val="TOC3"/>
            <w:tabs>
              <w:tab w:val="left" w:pos="993"/>
            </w:tabs>
            <w:rPr>
              <w:rFonts w:asciiTheme="minorHAnsi" w:eastAsiaTheme="minorEastAsia" w:hAnsiTheme="minorHAnsi" w:cstheme="minorBidi"/>
              <w:i w:val="0"/>
              <w:iCs w:val="0"/>
              <w:color w:val="auto"/>
              <w:spacing w:val="0"/>
              <w:sz w:val="24"/>
              <w:szCs w:val="24"/>
              <w:lang w:val="fr-FR" w:eastAsia="ja-JP"/>
            </w:rPr>
          </w:pPr>
          <w:r>
            <w:t>4.2.</w:t>
          </w:r>
          <w:r>
            <w:rPr>
              <w:rFonts w:asciiTheme="minorHAnsi" w:eastAsiaTheme="minorEastAsia" w:hAnsiTheme="minorHAnsi" w:cstheme="minorBidi"/>
              <w:i w:val="0"/>
              <w:iCs w:val="0"/>
              <w:color w:val="auto"/>
              <w:spacing w:val="0"/>
              <w:sz w:val="24"/>
              <w:szCs w:val="24"/>
              <w:lang w:val="fr-FR" w:eastAsia="ja-JP"/>
            </w:rPr>
            <w:tab/>
          </w:r>
          <w:r>
            <w:t>Proposed tools and methods</w:t>
          </w:r>
          <w:r>
            <w:tab/>
          </w:r>
          <w:r>
            <w:fldChar w:fldCharType="begin"/>
          </w:r>
          <w:r>
            <w:instrText xml:space="preserve"> PAGEREF _Toc398225069 \h </w:instrText>
          </w:r>
          <w:r>
            <w:fldChar w:fldCharType="separate"/>
          </w:r>
          <w:r>
            <w:t>25</w:t>
          </w:r>
          <w:r>
            <w:fldChar w:fldCharType="end"/>
          </w:r>
        </w:p>
        <w:p w14:paraId="1CA27015" w14:textId="77777777" w:rsidR="00B751CB" w:rsidRDefault="00B751CB">
          <w:pPr>
            <w:pStyle w:val="TOC4"/>
            <w:tabs>
              <w:tab w:val="left" w:pos="1472"/>
              <w:tab w:val="right" w:leader="dot" w:pos="10374"/>
            </w:tabs>
            <w:rPr>
              <w:rFonts w:asciiTheme="minorHAnsi" w:eastAsiaTheme="minorEastAsia" w:hAnsiTheme="minorHAnsi" w:cstheme="minorBidi"/>
              <w:noProof/>
              <w:color w:val="auto"/>
              <w:spacing w:val="0"/>
              <w:sz w:val="24"/>
              <w:szCs w:val="24"/>
              <w:lang w:val="fr-FR" w:eastAsia="ja-JP"/>
            </w:rPr>
          </w:pPr>
          <w:r>
            <w:rPr>
              <w:noProof/>
            </w:rPr>
            <w:t>4.2.1.1.</w:t>
          </w:r>
          <w:r>
            <w:rPr>
              <w:rFonts w:asciiTheme="minorHAnsi" w:eastAsiaTheme="minorEastAsia" w:hAnsiTheme="minorHAnsi" w:cstheme="minorBidi"/>
              <w:noProof/>
              <w:color w:val="auto"/>
              <w:spacing w:val="0"/>
              <w:sz w:val="24"/>
              <w:szCs w:val="24"/>
              <w:lang w:val="fr-FR" w:eastAsia="ja-JP"/>
            </w:rPr>
            <w:tab/>
          </w:r>
          <w:r>
            <w:rPr>
              <w:noProof/>
            </w:rPr>
            <w:t>Xenoclea</w:t>
          </w:r>
          <w:r>
            <w:rPr>
              <w:noProof/>
            </w:rPr>
            <w:tab/>
          </w:r>
          <w:r>
            <w:rPr>
              <w:noProof/>
            </w:rPr>
            <w:fldChar w:fldCharType="begin"/>
          </w:r>
          <w:r>
            <w:rPr>
              <w:noProof/>
            </w:rPr>
            <w:instrText xml:space="preserve"> PAGEREF _Toc398225070 \h </w:instrText>
          </w:r>
          <w:r>
            <w:rPr>
              <w:noProof/>
            </w:rPr>
          </w:r>
          <w:r>
            <w:rPr>
              <w:noProof/>
            </w:rPr>
            <w:fldChar w:fldCharType="separate"/>
          </w:r>
          <w:r>
            <w:rPr>
              <w:noProof/>
            </w:rPr>
            <w:t>26</w:t>
          </w:r>
          <w:r>
            <w:rPr>
              <w:noProof/>
            </w:rPr>
            <w:fldChar w:fldCharType="end"/>
          </w:r>
        </w:p>
        <w:p w14:paraId="1EB28FDA" w14:textId="77777777" w:rsidR="00B751CB" w:rsidRDefault="00B751CB">
          <w:pPr>
            <w:pStyle w:val="TOC4"/>
            <w:tabs>
              <w:tab w:val="left" w:pos="1472"/>
              <w:tab w:val="right" w:leader="dot" w:pos="10374"/>
            </w:tabs>
            <w:rPr>
              <w:rFonts w:asciiTheme="minorHAnsi" w:eastAsiaTheme="minorEastAsia" w:hAnsiTheme="minorHAnsi" w:cstheme="minorBidi"/>
              <w:noProof/>
              <w:color w:val="auto"/>
              <w:spacing w:val="0"/>
              <w:sz w:val="24"/>
              <w:szCs w:val="24"/>
              <w:lang w:val="fr-FR" w:eastAsia="ja-JP"/>
            </w:rPr>
          </w:pPr>
          <w:r>
            <w:rPr>
              <w:noProof/>
            </w:rPr>
            <w:t>4.2.1.2.</w:t>
          </w:r>
          <w:r>
            <w:rPr>
              <w:rFonts w:asciiTheme="minorHAnsi" w:eastAsiaTheme="minorEastAsia" w:hAnsiTheme="minorHAnsi" w:cstheme="minorBidi"/>
              <w:noProof/>
              <w:color w:val="auto"/>
              <w:spacing w:val="0"/>
              <w:sz w:val="24"/>
              <w:szCs w:val="24"/>
              <w:lang w:val="fr-FR" w:eastAsia="ja-JP"/>
            </w:rPr>
            <w:tab/>
          </w:r>
          <w:r>
            <w:rPr>
              <w:noProof/>
            </w:rPr>
            <w:t>Dezyne</w:t>
          </w:r>
          <w:r>
            <w:rPr>
              <w:noProof/>
            </w:rPr>
            <w:tab/>
          </w:r>
          <w:r>
            <w:rPr>
              <w:noProof/>
            </w:rPr>
            <w:fldChar w:fldCharType="begin"/>
          </w:r>
          <w:r>
            <w:rPr>
              <w:noProof/>
            </w:rPr>
            <w:instrText xml:space="preserve"> PAGEREF _Toc398225071 \h </w:instrText>
          </w:r>
          <w:r>
            <w:rPr>
              <w:noProof/>
            </w:rPr>
          </w:r>
          <w:r>
            <w:rPr>
              <w:noProof/>
            </w:rPr>
            <w:fldChar w:fldCharType="separate"/>
          </w:r>
          <w:r>
            <w:rPr>
              <w:noProof/>
            </w:rPr>
            <w:t>26</w:t>
          </w:r>
          <w:r>
            <w:rPr>
              <w:noProof/>
            </w:rPr>
            <w:fldChar w:fldCharType="end"/>
          </w:r>
        </w:p>
        <w:p w14:paraId="434556D7" w14:textId="77777777" w:rsidR="00B751CB" w:rsidRDefault="00B751CB">
          <w:pPr>
            <w:pStyle w:val="TOC2"/>
            <w:tabs>
              <w:tab w:val="left" w:pos="613"/>
            </w:tabs>
            <w:rPr>
              <w:rFonts w:asciiTheme="minorHAnsi" w:eastAsiaTheme="minorEastAsia" w:hAnsiTheme="minorHAnsi" w:cstheme="minorBidi"/>
              <w:smallCaps w:val="0"/>
              <w:color w:val="auto"/>
              <w:spacing w:val="0"/>
              <w:sz w:val="24"/>
              <w:szCs w:val="24"/>
              <w:lang w:val="fr-FR" w:eastAsia="ja-JP"/>
            </w:rPr>
          </w:pPr>
          <w:r w:rsidRPr="00663A62">
            <w:rPr>
              <w:lang w:val="en-US"/>
            </w:rPr>
            <w:t>5.</w:t>
          </w:r>
          <w:r>
            <w:rPr>
              <w:rFonts w:asciiTheme="minorHAnsi" w:eastAsiaTheme="minorEastAsia" w:hAnsiTheme="minorHAnsi" w:cstheme="minorBidi"/>
              <w:smallCaps w:val="0"/>
              <w:color w:val="auto"/>
              <w:spacing w:val="0"/>
              <w:sz w:val="24"/>
              <w:szCs w:val="24"/>
              <w:lang w:val="fr-FR" w:eastAsia="ja-JP"/>
            </w:rPr>
            <w:tab/>
          </w:r>
          <w:r w:rsidRPr="00663A62">
            <w:rPr>
              <w:lang w:val="en-US"/>
            </w:rPr>
            <w:t>Consumer electronics cluster</w:t>
          </w:r>
          <w:r>
            <w:tab/>
          </w:r>
          <w:r>
            <w:fldChar w:fldCharType="begin"/>
          </w:r>
          <w:r>
            <w:instrText xml:space="preserve"> PAGEREF _Toc398225072 \h </w:instrText>
          </w:r>
          <w:r>
            <w:fldChar w:fldCharType="separate"/>
          </w:r>
          <w:r>
            <w:t>27</w:t>
          </w:r>
          <w:r>
            <w:fldChar w:fldCharType="end"/>
          </w:r>
        </w:p>
        <w:p w14:paraId="56215C3B" w14:textId="77777777" w:rsidR="00B751CB" w:rsidRDefault="00B751CB">
          <w:pPr>
            <w:pStyle w:val="TOC3"/>
            <w:tabs>
              <w:tab w:val="left" w:pos="993"/>
            </w:tabs>
            <w:rPr>
              <w:rFonts w:asciiTheme="minorHAnsi" w:eastAsiaTheme="minorEastAsia" w:hAnsiTheme="minorHAnsi" w:cstheme="minorBidi"/>
              <w:i w:val="0"/>
              <w:iCs w:val="0"/>
              <w:color w:val="auto"/>
              <w:spacing w:val="0"/>
              <w:sz w:val="24"/>
              <w:szCs w:val="24"/>
              <w:lang w:val="fr-FR" w:eastAsia="ja-JP"/>
            </w:rPr>
          </w:pPr>
          <w:r>
            <w:t>5.1.</w:t>
          </w:r>
          <w:r>
            <w:rPr>
              <w:rFonts w:asciiTheme="minorHAnsi" w:eastAsiaTheme="minorEastAsia" w:hAnsiTheme="minorHAnsi" w:cstheme="minorBidi"/>
              <w:i w:val="0"/>
              <w:iCs w:val="0"/>
              <w:color w:val="auto"/>
              <w:spacing w:val="0"/>
              <w:sz w:val="24"/>
              <w:szCs w:val="24"/>
              <w:lang w:val="fr-FR" w:eastAsia="ja-JP"/>
            </w:rPr>
            <w:tab/>
          </w:r>
          <w:r>
            <w:t>Benchmark Data Structures and Synchronization Primitives</w:t>
          </w:r>
          <w:r>
            <w:tab/>
          </w:r>
          <w:r>
            <w:fldChar w:fldCharType="begin"/>
          </w:r>
          <w:r>
            <w:instrText xml:space="preserve"> PAGEREF _Toc398225073 \h </w:instrText>
          </w:r>
          <w:r>
            <w:fldChar w:fldCharType="separate"/>
          </w:r>
          <w:r>
            <w:t>27</w:t>
          </w:r>
          <w:r>
            <w:fldChar w:fldCharType="end"/>
          </w:r>
        </w:p>
        <w:p w14:paraId="58DC3360" w14:textId="77777777" w:rsidR="00B751CB" w:rsidRDefault="00B751CB">
          <w:pPr>
            <w:pStyle w:val="TOC3"/>
            <w:tabs>
              <w:tab w:val="left" w:pos="993"/>
            </w:tabs>
            <w:rPr>
              <w:rFonts w:asciiTheme="minorHAnsi" w:eastAsiaTheme="minorEastAsia" w:hAnsiTheme="minorHAnsi" w:cstheme="minorBidi"/>
              <w:i w:val="0"/>
              <w:iCs w:val="0"/>
              <w:color w:val="auto"/>
              <w:spacing w:val="0"/>
              <w:sz w:val="24"/>
              <w:szCs w:val="24"/>
              <w:lang w:val="fr-FR" w:eastAsia="ja-JP"/>
            </w:rPr>
          </w:pPr>
          <w:r>
            <w:t>5.2.</w:t>
          </w:r>
          <w:r>
            <w:rPr>
              <w:rFonts w:asciiTheme="minorHAnsi" w:eastAsiaTheme="minorEastAsia" w:hAnsiTheme="minorHAnsi" w:cstheme="minorBidi"/>
              <w:i w:val="0"/>
              <w:iCs w:val="0"/>
              <w:color w:val="auto"/>
              <w:spacing w:val="0"/>
              <w:sz w:val="24"/>
              <w:szCs w:val="24"/>
              <w:lang w:val="fr-FR" w:eastAsia="ja-JP"/>
            </w:rPr>
            <w:tab/>
          </w:r>
          <w:r>
            <w:t>Proposed tool flow and desired tool extensions</w:t>
          </w:r>
          <w:r>
            <w:tab/>
          </w:r>
          <w:r>
            <w:fldChar w:fldCharType="begin"/>
          </w:r>
          <w:r>
            <w:instrText xml:space="preserve"> PAGEREF _Toc398225074 \h </w:instrText>
          </w:r>
          <w:r>
            <w:fldChar w:fldCharType="separate"/>
          </w:r>
          <w:r>
            <w:t>28</w:t>
          </w:r>
          <w:r>
            <w:fldChar w:fldCharType="end"/>
          </w:r>
        </w:p>
        <w:p w14:paraId="12ABD1F4" w14:textId="77777777" w:rsidR="00B751CB" w:rsidRDefault="00B751CB">
          <w:pPr>
            <w:pStyle w:val="TOC4"/>
            <w:tabs>
              <w:tab w:val="left" w:pos="1314"/>
              <w:tab w:val="right" w:leader="dot" w:pos="10374"/>
            </w:tabs>
            <w:rPr>
              <w:rFonts w:asciiTheme="minorHAnsi" w:eastAsiaTheme="minorEastAsia" w:hAnsiTheme="minorHAnsi" w:cstheme="minorBidi"/>
              <w:noProof/>
              <w:color w:val="auto"/>
              <w:spacing w:val="0"/>
              <w:sz w:val="24"/>
              <w:szCs w:val="24"/>
              <w:lang w:val="fr-FR" w:eastAsia="ja-JP"/>
            </w:rPr>
          </w:pPr>
          <w:r w:rsidRPr="00663A62">
            <w:rPr>
              <w:noProof/>
              <w:lang w:val="en-US"/>
            </w:rPr>
            <w:t>5.2.1.</w:t>
          </w:r>
          <w:r>
            <w:rPr>
              <w:rFonts w:asciiTheme="minorHAnsi" w:eastAsiaTheme="minorEastAsia" w:hAnsiTheme="minorHAnsi" w:cstheme="minorBidi"/>
              <w:noProof/>
              <w:color w:val="auto"/>
              <w:spacing w:val="0"/>
              <w:sz w:val="24"/>
              <w:szCs w:val="24"/>
              <w:lang w:val="fr-FR" w:eastAsia="ja-JP"/>
            </w:rPr>
            <w:tab/>
          </w:r>
          <w:r w:rsidRPr="00663A62">
            <w:rPr>
              <w:noProof/>
              <w:lang w:val="en-US"/>
            </w:rPr>
            <w:t>Global toolflow organization</w:t>
          </w:r>
          <w:r>
            <w:rPr>
              <w:noProof/>
            </w:rPr>
            <w:tab/>
          </w:r>
          <w:r>
            <w:rPr>
              <w:noProof/>
            </w:rPr>
            <w:fldChar w:fldCharType="begin"/>
          </w:r>
          <w:r>
            <w:rPr>
              <w:noProof/>
            </w:rPr>
            <w:instrText xml:space="preserve"> PAGEREF _Toc398225075 \h </w:instrText>
          </w:r>
          <w:r>
            <w:rPr>
              <w:noProof/>
            </w:rPr>
          </w:r>
          <w:r>
            <w:rPr>
              <w:noProof/>
            </w:rPr>
            <w:fldChar w:fldCharType="separate"/>
          </w:r>
          <w:r>
            <w:rPr>
              <w:noProof/>
            </w:rPr>
            <w:t>28</w:t>
          </w:r>
          <w:r>
            <w:rPr>
              <w:noProof/>
            </w:rPr>
            <w:fldChar w:fldCharType="end"/>
          </w:r>
        </w:p>
        <w:p w14:paraId="64A23C94" w14:textId="77777777" w:rsidR="00B751CB" w:rsidRDefault="00B751CB">
          <w:pPr>
            <w:pStyle w:val="TOC4"/>
            <w:tabs>
              <w:tab w:val="left" w:pos="1314"/>
              <w:tab w:val="right" w:leader="dot" w:pos="10374"/>
            </w:tabs>
            <w:rPr>
              <w:rFonts w:asciiTheme="minorHAnsi" w:eastAsiaTheme="minorEastAsia" w:hAnsiTheme="minorHAnsi" w:cstheme="minorBidi"/>
              <w:noProof/>
              <w:color w:val="auto"/>
              <w:spacing w:val="0"/>
              <w:sz w:val="24"/>
              <w:szCs w:val="24"/>
              <w:lang w:val="fr-FR" w:eastAsia="ja-JP"/>
            </w:rPr>
          </w:pPr>
          <w:r>
            <w:rPr>
              <w:noProof/>
            </w:rPr>
            <w:t>5.2.2.</w:t>
          </w:r>
          <w:r>
            <w:rPr>
              <w:rFonts w:asciiTheme="minorHAnsi" w:eastAsiaTheme="minorEastAsia" w:hAnsiTheme="minorHAnsi" w:cstheme="minorBidi"/>
              <w:noProof/>
              <w:color w:val="auto"/>
              <w:spacing w:val="0"/>
              <w:sz w:val="24"/>
              <w:szCs w:val="24"/>
              <w:lang w:val="fr-FR" w:eastAsia="ja-JP"/>
            </w:rPr>
            <w:tab/>
          </w:r>
          <w:r>
            <w:rPr>
              <w:noProof/>
            </w:rPr>
            <w:t>Tool status and needed extensions</w:t>
          </w:r>
          <w:r>
            <w:rPr>
              <w:noProof/>
            </w:rPr>
            <w:tab/>
          </w:r>
          <w:r>
            <w:rPr>
              <w:noProof/>
            </w:rPr>
            <w:fldChar w:fldCharType="begin"/>
          </w:r>
          <w:r>
            <w:rPr>
              <w:noProof/>
            </w:rPr>
            <w:instrText xml:space="preserve"> PAGEREF _Toc398225076 \h </w:instrText>
          </w:r>
          <w:r>
            <w:rPr>
              <w:noProof/>
            </w:rPr>
          </w:r>
          <w:r>
            <w:rPr>
              <w:noProof/>
            </w:rPr>
            <w:fldChar w:fldCharType="separate"/>
          </w:r>
          <w:r>
            <w:rPr>
              <w:noProof/>
            </w:rPr>
            <w:t>29</w:t>
          </w:r>
          <w:r>
            <w:rPr>
              <w:noProof/>
            </w:rPr>
            <w:fldChar w:fldCharType="end"/>
          </w:r>
        </w:p>
        <w:p w14:paraId="3EFAE9C9" w14:textId="77777777" w:rsidR="00B751CB" w:rsidRDefault="00B751CB">
          <w:pPr>
            <w:pStyle w:val="TOC4"/>
            <w:tabs>
              <w:tab w:val="left" w:pos="1472"/>
              <w:tab w:val="right" w:leader="dot" w:pos="10374"/>
            </w:tabs>
            <w:rPr>
              <w:rFonts w:asciiTheme="minorHAnsi" w:eastAsiaTheme="minorEastAsia" w:hAnsiTheme="minorHAnsi" w:cstheme="minorBidi"/>
              <w:noProof/>
              <w:color w:val="auto"/>
              <w:spacing w:val="0"/>
              <w:sz w:val="24"/>
              <w:szCs w:val="24"/>
              <w:lang w:val="fr-FR" w:eastAsia="ja-JP"/>
            </w:rPr>
          </w:pPr>
          <w:r>
            <w:rPr>
              <w:noProof/>
            </w:rPr>
            <w:t>5.2.2.1.</w:t>
          </w:r>
          <w:r>
            <w:rPr>
              <w:rFonts w:asciiTheme="minorHAnsi" w:eastAsiaTheme="minorEastAsia" w:hAnsiTheme="minorHAnsi" w:cstheme="minorBidi"/>
              <w:noProof/>
              <w:color w:val="auto"/>
              <w:spacing w:val="0"/>
              <w:sz w:val="24"/>
              <w:szCs w:val="24"/>
              <w:lang w:val="fr-FR" w:eastAsia="ja-JP"/>
            </w:rPr>
            <w:tab/>
          </w:r>
          <w:r>
            <w:rPr>
              <w:noProof/>
            </w:rPr>
            <w:t>CIVL \ Concurrent Boogie</w:t>
          </w:r>
          <w:r>
            <w:rPr>
              <w:noProof/>
            </w:rPr>
            <w:tab/>
          </w:r>
          <w:r>
            <w:rPr>
              <w:noProof/>
            </w:rPr>
            <w:fldChar w:fldCharType="begin"/>
          </w:r>
          <w:r>
            <w:rPr>
              <w:noProof/>
            </w:rPr>
            <w:instrText xml:space="preserve"> PAGEREF _Toc398225077 \h </w:instrText>
          </w:r>
          <w:r>
            <w:rPr>
              <w:noProof/>
            </w:rPr>
          </w:r>
          <w:r>
            <w:rPr>
              <w:noProof/>
            </w:rPr>
            <w:fldChar w:fldCharType="separate"/>
          </w:r>
          <w:r>
            <w:rPr>
              <w:noProof/>
            </w:rPr>
            <w:t>29</w:t>
          </w:r>
          <w:r>
            <w:rPr>
              <w:noProof/>
            </w:rPr>
            <w:fldChar w:fldCharType="end"/>
          </w:r>
        </w:p>
        <w:p w14:paraId="3AE78CB3" w14:textId="77777777" w:rsidR="00B751CB" w:rsidRDefault="00B751CB">
          <w:pPr>
            <w:pStyle w:val="TOC4"/>
            <w:tabs>
              <w:tab w:val="left" w:pos="1472"/>
              <w:tab w:val="right" w:leader="dot" w:pos="10374"/>
            </w:tabs>
            <w:rPr>
              <w:rFonts w:asciiTheme="minorHAnsi" w:eastAsiaTheme="minorEastAsia" w:hAnsiTheme="minorHAnsi" w:cstheme="minorBidi"/>
              <w:noProof/>
              <w:color w:val="auto"/>
              <w:spacing w:val="0"/>
              <w:sz w:val="24"/>
              <w:szCs w:val="24"/>
              <w:lang w:val="fr-FR" w:eastAsia="ja-JP"/>
            </w:rPr>
          </w:pPr>
          <w:r>
            <w:rPr>
              <w:noProof/>
            </w:rPr>
            <w:t>5.2.2.2.</w:t>
          </w:r>
          <w:r>
            <w:rPr>
              <w:rFonts w:asciiTheme="minorHAnsi" w:eastAsiaTheme="minorEastAsia" w:hAnsiTheme="minorHAnsi" w:cstheme="minorBidi"/>
              <w:noProof/>
              <w:color w:val="auto"/>
              <w:spacing w:val="0"/>
              <w:sz w:val="24"/>
              <w:szCs w:val="24"/>
              <w:lang w:val="fr-FR" w:eastAsia="ja-JP"/>
            </w:rPr>
            <w:tab/>
          </w:r>
          <w:r>
            <w:rPr>
              <w:noProof/>
            </w:rPr>
            <w:t>BoogieASM</w:t>
          </w:r>
          <w:r>
            <w:rPr>
              <w:noProof/>
            </w:rPr>
            <w:tab/>
          </w:r>
          <w:r>
            <w:rPr>
              <w:noProof/>
            </w:rPr>
            <w:fldChar w:fldCharType="begin"/>
          </w:r>
          <w:r>
            <w:rPr>
              <w:noProof/>
            </w:rPr>
            <w:instrText xml:space="preserve"> PAGEREF _Toc398225078 \h </w:instrText>
          </w:r>
          <w:r>
            <w:rPr>
              <w:noProof/>
            </w:rPr>
          </w:r>
          <w:r>
            <w:rPr>
              <w:noProof/>
            </w:rPr>
            <w:fldChar w:fldCharType="separate"/>
          </w:r>
          <w:r>
            <w:rPr>
              <w:noProof/>
            </w:rPr>
            <w:t>29</w:t>
          </w:r>
          <w:r>
            <w:rPr>
              <w:noProof/>
            </w:rPr>
            <w:fldChar w:fldCharType="end"/>
          </w:r>
        </w:p>
        <w:p w14:paraId="600D9035" w14:textId="77777777" w:rsidR="00B751CB" w:rsidRDefault="00B751CB">
          <w:pPr>
            <w:pStyle w:val="TOC3"/>
            <w:tabs>
              <w:tab w:val="left" w:pos="993"/>
            </w:tabs>
            <w:rPr>
              <w:rFonts w:asciiTheme="minorHAnsi" w:eastAsiaTheme="minorEastAsia" w:hAnsiTheme="minorHAnsi" w:cstheme="minorBidi"/>
              <w:i w:val="0"/>
              <w:iCs w:val="0"/>
              <w:color w:val="auto"/>
              <w:spacing w:val="0"/>
              <w:sz w:val="24"/>
              <w:szCs w:val="24"/>
              <w:lang w:val="fr-FR" w:eastAsia="ja-JP"/>
            </w:rPr>
          </w:pPr>
          <w:r>
            <w:t>5.3.</w:t>
          </w:r>
          <w:r>
            <w:rPr>
              <w:rFonts w:asciiTheme="minorHAnsi" w:eastAsiaTheme="minorEastAsia" w:hAnsiTheme="minorHAnsi" w:cstheme="minorBidi"/>
              <w:i w:val="0"/>
              <w:iCs w:val="0"/>
              <w:color w:val="auto"/>
              <w:spacing w:val="0"/>
              <w:sz w:val="24"/>
              <w:szCs w:val="24"/>
              <w:lang w:val="fr-FR" w:eastAsia="ja-JP"/>
            </w:rPr>
            <w:tab/>
          </w:r>
          <w:r>
            <w:t>Interface definitions</w:t>
          </w:r>
          <w:r>
            <w:tab/>
          </w:r>
          <w:r>
            <w:fldChar w:fldCharType="begin"/>
          </w:r>
          <w:r>
            <w:instrText xml:space="preserve"> PAGEREF _Toc398225079 \h </w:instrText>
          </w:r>
          <w:r>
            <w:fldChar w:fldCharType="separate"/>
          </w:r>
          <w:r>
            <w:t>29</w:t>
          </w:r>
          <w:r>
            <w:fldChar w:fldCharType="end"/>
          </w:r>
        </w:p>
        <w:p w14:paraId="036231A6" w14:textId="77777777" w:rsidR="00B751CB" w:rsidRDefault="00B751CB">
          <w:pPr>
            <w:pStyle w:val="TOC4"/>
            <w:tabs>
              <w:tab w:val="left" w:pos="1314"/>
              <w:tab w:val="right" w:leader="dot" w:pos="10374"/>
            </w:tabs>
            <w:rPr>
              <w:rFonts w:asciiTheme="minorHAnsi" w:eastAsiaTheme="minorEastAsia" w:hAnsiTheme="minorHAnsi" w:cstheme="minorBidi"/>
              <w:noProof/>
              <w:color w:val="auto"/>
              <w:spacing w:val="0"/>
              <w:sz w:val="24"/>
              <w:szCs w:val="24"/>
              <w:lang w:val="fr-FR" w:eastAsia="ja-JP"/>
            </w:rPr>
          </w:pPr>
          <w:r>
            <w:rPr>
              <w:noProof/>
            </w:rPr>
            <w:t>5.3.1.</w:t>
          </w:r>
          <w:r>
            <w:rPr>
              <w:rFonts w:asciiTheme="minorHAnsi" w:eastAsiaTheme="minorEastAsia" w:hAnsiTheme="minorHAnsi" w:cstheme="minorBidi"/>
              <w:noProof/>
              <w:color w:val="auto"/>
              <w:spacing w:val="0"/>
              <w:sz w:val="24"/>
              <w:szCs w:val="24"/>
              <w:lang w:val="fr-FR" w:eastAsia="ja-JP"/>
            </w:rPr>
            <w:tab/>
          </w:r>
          <w:r>
            <w:rPr>
              <w:noProof/>
            </w:rPr>
            <w:t>Common Interface for CIVL and BoogieASM</w:t>
          </w:r>
          <w:r>
            <w:rPr>
              <w:noProof/>
            </w:rPr>
            <w:tab/>
          </w:r>
          <w:r>
            <w:rPr>
              <w:noProof/>
            </w:rPr>
            <w:fldChar w:fldCharType="begin"/>
          </w:r>
          <w:r>
            <w:rPr>
              <w:noProof/>
            </w:rPr>
            <w:instrText xml:space="preserve"> PAGEREF _Toc398225080 \h </w:instrText>
          </w:r>
          <w:r>
            <w:rPr>
              <w:noProof/>
            </w:rPr>
          </w:r>
          <w:r>
            <w:rPr>
              <w:noProof/>
            </w:rPr>
            <w:fldChar w:fldCharType="separate"/>
          </w:r>
          <w:r>
            <w:rPr>
              <w:noProof/>
            </w:rPr>
            <w:t>29</w:t>
          </w:r>
          <w:r>
            <w:rPr>
              <w:noProof/>
            </w:rPr>
            <w:fldChar w:fldCharType="end"/>
          </w:r>
        </w:p>
        <w:p w14:paraId="69177276" w14:textId="77777777" w:rsidR="00B751CB" w:rsidRDefault="00B751CB">
          <w:pPr>
            <w:pStyle w:val="TOC1"/>
            <w:tabs>
              <w:tab w:val="right" w:leader="dot" w:pos="10374"/>
            </w:tabs>
            <w:rPr>
              <w:rFonts w:asciiTheme="minorHAnsi" w:eastAsiaTheme="minorEastAsia" w:hAnsiTheme="minorHAnsi" w:cstheme="minorBidi"/>
              <w:b w:val="0"/>
              <w:bCs w:val="0"/>
              <w:smallCaps w:val="0"/>
              <w:noProof/>
              <w:color w:val="auto"/>
              <w:spacing w:val="0"/>
              <w:sz w:val="24"/>
              <w:szCs w:val="24"/>
              <w:lang w:val="fr-FR" w:eastAsia="ja-JP"/>
            </w:rPr>
          </w:pPr>
          <w:r>
            <w:rPr>
              <w:noProof/>
            </w:rPr>
            <w:t>References</w:t>
          </w:r>
          <w:r>
            <w:rPr>
              <w:noProof/>
            </w:rPr>
            <w:tab/>
          </w:r>
          <w:r>
            <w:rPr>
              <w:noProof/>
            </w:rPr>
            <w:fldChar w:fldCharType="begin"/>
          </w:r>
          <w:r>
            <w:rPr>
              <w:noProof/>
            </w:rPr>
            <w:instrText xml:space="preserve"> PAGEREF _Toc398225081 \h </w:instrText>
          </w:r>
          <w:r>
            <w:rPr>
              <w:noProof/>
            </w:rPr>
          </w:r>
          <w:r>
            <w:rPr>
              <w:noProof/>
            </w:rPr>
            <w:fldChar w:fldCharType="separate"/>
          </w:r>
          <w:r>
            <w:rPr>
              <w:noProof/>
            </w:rPr>
            <w:t>30</w:t>
          </w:r>
          <w:r>
            <w:rPr>
              <w:noProof/>
            </w:rPr>
            <w:fldChar w:fldCharType="end"/>
          </w:r>
        </w:p>
        <w:p w14:paraId="7148A0E1" w14:textId="77777777" w:rsidR="00A749E4" w:rsidRPr="00CD11A8" w:rsidRDefault="00E6652C">
          <w:pPr>
            <w:rPr>
              <w:lang w:val="en-US"/>
            </w:rPr>
          </w:pPr>
          <w:r w:rsidRPr="008727B9">
            <w:rPr>
              <w:smallCaps/>
              <w:noProof/>
              <w:szCs w:val="20"/>
              <w:lang w:val="en-US"/>
            </w:rPr>
            <w:fldChar w:fldCharType="end"/>
          </w:r>
        </w:p>
      </w:sdtContent>
    </w:sdt>
    <w:p w14:paraId="0A50BEB2" w14:textId="77777777" w:rsidR="00A749E4" w:rsidRPr="00CD11A8" w:rsidRDefault="00A749E4" w:rsidP="00A749E4">
      <w:pPr>
        <w:pStyle w:val="ITEABodyText"/>
        <w:rPr>
          <w:lang w:val="en-US" w:eastAsia="en-US"/>
        </w:rPr>
      </w:pPr>
    </w:p>
    <w:p w14:paraId="56B055F4" w14:textId="77777777" w:rsidR="00397912" w:rsidRPr="00CD11A8" w:rsidRDefault="008727B9" w:rsidP="006820D2">
      <w:pPr>
        <w:pStyle w:val="ITEAHeading1"/>
        <w:rPr>
          <w:lang w:val="en-US"/>
        </w:rPr>
      </w:pPr>
      <w:bookmarkStart w:id="14" w:name="_Toc434579001"/>
      <w:bookmarkStart w:id="15" w:name="_Toc398225039"/>
      <w:bookmarkEnd w:id="13"/>
      <w:bookmarkEnd w:id="12"/>
      <w:bookmarkEnd w:id="11"/>
      <w:bookmarkEnd w:id="10"/>
      <w:bookmarkEnd w:id="9"/>
      <w:bookmarkEnd w:id="8"/>
      <w:r w:rsidRPr="008727B9">
        <w:rPr>
          <w:lang w:val="en-US"/>
        </w:rPr>
        <w:lastRenderedPageBreak/>
        <w:t>Executive Summary</w:t>
      </w:r>
      <w:bookmarkEnd w:id="14"/>
      <w:bookmarkEnd w:id="15"/>
    </w:p>
    <w:p w14:paraId="7F2FFAC1" w14:textId="56F0C57C" w:rsidR="00050012" w:rsidRDefault="00050012" w:rsidP="001870E0">
      <w:pPr>
        <w:pStyle w:val="ITEABodyText"/>
        <w:rPr>
          <w:lang w:val="en-US"/>
        </w:rPr>
      </w:pPr>
      <w:r>
        <w:rPr>
          <w:lang w:val="en-US"/>
        </w:rPr>
        <w:t xml:space="preserve">Work in WP4 is organized </w:t>
      </w:r>
      <w:r w:rsidR="0066384C">
        <w:rPr>
          <w:lang w:val="en-US"/>
        </w:rPr>
        <w:t>in 4</w:t>
      </w:r>
      <w:r w:rsidR="004F62A4">
        <w:rPr>
          <w:lang w:val="en-US"/>
        </w:rPr>
        <w:t xml:space="preserve"> clusters, according to partic</w:t>
      </w:r>
      <w:r w:rsidR="001870E0">
        <w:rPr>
          <w:lang w:val="en-US"/>
        </w:rPr>
        <w:t xml:space="preserve">ipation in case studies. </w:t>
      </w:r>
      <w:r w:rsidR="007E06F5">
        <w:rPr>
          <w:lang w:val="en-US"/>
        </w:rPr>
        <w:t>G</w:t>
      </w:r>
      <w:r w:rsidR="004F62A4">
        <w:rPr>
          <w:lang w:val="en-US"/>
        </w:rPr>
        <w:t xml:space="preserve">eneral </w:t>
      </w:r>
      <w:r w:rsidR="001870E0">
        <w:rPr>
          <w:lang w:val="en-US"/>
        </w:rPr>
        <w:t>principles,</w:t>
      </w:r>
      <w:r w:rsidR="007E06F5">
        <w:rPr>
          <w:lang w:val="en-US"/>
        </w:rPr>
        <w:t xml:space="preserve"> </w:t>
      </w:r>
      <w:r w:rsidR="008275C1">
        <w:rPr>
          <w:lang w:val="en-US"/>
        </w:rPr>
        <w:t xml:space="preserve">common to multiple clusters, have been identified, </w:t>
      </w:r>
      <w:r w:rsidR="007E06F5">
        <w:rPr>
          <w:lang w:val="en-US"/>
        </w:rPr>
        <w:t xml:space="preserve">such as </w:t>
      </w:r>
      <w:r w:rsidR="008275C1">
        <w:rPr>
          <w:lang w:val="en-US"/>
        </w:rPr>
        <w:t xml:space="preserve">the </w:t>
      </w:r>
      <w:r w:rsidR="00C93275">
        <w:rPr>
          <w:lang w:val="en-US"/>
        </w:rPr>
        <w:t xml:space="preserve">reliance on </w:t>
      </w:r>
      <w:r w:rsidR="007E06F5">
        <w:rPr>
          <w:lang w:val="en-US"/>
        </w:rPr>
        <w:t xml:space="preserve">formal methods, </w:t>
      </w:r>
      <w:r w:rsidR="008275C1">
        <w:rPr>
          <w:lang w:val="en-US"/>
        </w:rPr>
        <w:t>or the use of data-flow formalisms</w:t>
      </w:r>
      <w:r w:rsidR="001870E0">
        <w:rPr>
          <w:lang w:val="en-US"/>
        </w:rPr>
        <w:t xml:space="preserve">. However, </w:t>
      </w:r>
      <w:r w:rsidR="0051112D">
        <w:rPr>
          <w:lang w:val="en-US"/>
        </w:rPr>
        <w:t xml:space="preserve">early on in the project </w:t>
      </w:r>
      <w:r w:rsidR="001870E0">
        <w:rPr>
          <w:lang w:val="en-US"/>
        </w:rPr>
        <w:t xml:space="preserve">it has been recognized by partners </w:t>
      </w:r>
      <w:r w:rsidR="001D3643">
        <w:rPr>
          <w:lang w:val="en-US"/>
        </w:rPr>
        <w:t xml:space="preserve">that the </w:t>
      </w:r>
      <w:r w:rsidR="008723E8">
        <w:rPr>
          <w:lang w:val="en-US"/>
        </w:rPr>
        <w:t>various</w:t>
      </w:r>
      <w:r w:rsidR="001870E0">
        <w:rPr>
          <w:lang w:val="en-US"/>
        </w:rPr>
        <w:t xml:space="preserve"> classes of </w:t>
      </w:r>
      <w:r w:rsidR="008723E8">
        <w:rPr>
          <w:lang w:val="en-US"/>
        </w:rPr>
        <w:t>industrial applications</w:t>
      </w:r>
      <w:r w:rsidR="001870E0">
        <w:rPr>
          <w:lang w:val="en-US"/>
        </w:rPr>
        <w:t xml:space="preserve"> covered </w:t>
      </w:r>
      <w:r w:rsidR="008723E8">
        <w:rPr>
          <w:lang w:val="en-US"/>
        </w:rPr>
        <w:t xml:space="preserve">in the project </w:t>
      </w:r>
      <w:r w:rsidR="001870E0">
        <w:rPr>
          <w:lang w:val="en-US"/>
        </w:rPr>
        <w:t>need specific tools</w:t>
      </w:r>
      <w:r w:rsidR="008723E8">
        <w:rPr>
          <w:lang w:val="en-US"/>
        </w:rPr>
        <w:t xml:space="preserve"> </w:t>
      </w:r>
      <w:r w:rsidR="007E06F5">
        <w:rPr>
          <w:lang w:val="en-US"/>
        </w:rPr>
        <w:t>and methodologies</w:t>
      </w:r>
      <w:r w:rsidR="001870E0">
        <w:rPr>
          <w:lang w:val="en-US"/>
        </w:rPr>
        <w:t>. This explains the clear partition</w:t>
      </w:r>
      <w:r w:rsidR="001D3643">
        <w:rPr>
          <w:lang w:val="en-US"/>
        </w:rPr>
        <w:t xml:space="preserve"> of </w:t>
      </w:r>
      <w:r w:rsidR="008723E8">
        <w:rPr>
          <w:lang w:val="en-US"/>
        </w:rPr>
        <w:t xml:space="preserve">WP4 </w:t>
      </w:r>
      <w:r w:rsidR="001D3643">
        <w:rPr>
          <w:lang w:val="en-US"/>
        </w:rPr>
        <w:t>partners among 4 clusters</w:t>
      </w:r>
      <w:r w:rsidR="008723E8">
        <w:rPr>
          <w:lang w:val="en-US"/>
        </w:rPr>
        <w:t xml:space="preserve"> corresponding to different applicative fields:</w:t>
      </w:r>
    </w:p>
    <w:p w14:paraId="6EB3AE81" w14:textId="0A2B451B" w:rsidR="00050012" w:rsidRPr="0078510B" w:rsidRDefault="001870E0" w:rsidP="002D7E56">
      <w:pPr>
        <w:pStyle w:val="ITEABodyText"/>
        <w:numPr>
          <w:ilvl w:val="0"/>
          <w:numId w:val="17"/>
        </w:numPr>
        <w:rPr>
          <w:lang w:val="en-US"/>
        </w:rPr>
      </w:pPr>
      <w:r>
        <w:rPr>
          <w:lang w:val="en-US"/>
        </w:rPr>
        <w:t xml:space="preserve">Avionics. WP4 participants: </w:t>
      </w:r>
      <w:r w:rsidR="00050012" w:rsidRPr="00050012">
        <w:rPr>
          <w:bCs/>
          <w:lang w:val="en-US"/>
        </w:rPr>
        <w:t>Inria</w:t>
      </w:r>
      <w:r>
        <w:rPr>
          <w:lang w:val="en-US"/>
        </w:rPr>
        <w:t xml:space="preserve">, ENS, AbsInt, Kalray, </w:t>
      </w:r>
      <w:r w:rsidR="001E7785">
        <w:rPr>
          <w:lang w:val="en-US"/>
        </w:rPr>
        <w:t>ESTEREL TECHNOLOGIES</w:t>
      </w:r>
      <w:r>
        <w:rPr>
          <w:lang w:val="en-US"/>
        </w:rPr>
        <w:t>. Use case providers: Airbus,</w:t>
      </w:r>
      <w:r w:rsidR="000B3AF7">
        <w:rPr>
          <w:lang w:val="en-US"/>
        </w:rPr>
        <w:t xml:space="preserve"> </w:t>
      </w:r>
      <w:r w:rsidR="000B3AF7" w:rsidRPr="000B3AF7">
        <w:rPr>
          <w:rFonts w:eastAsiaTheme="majorEastAsia"/>
          <w:color w:val="333333"/>
        </w:rPr>
        <w:t>Safran Aircraft Engines SAS, Safran Electronics &amp; Defense.</w:t>
      </w:r>
    </w:p>
    <w:p w14:paraId="7E3A7662" w14:textId="1D88D2F5" w:rsidR="00050012" w:rsidRPr="007E57E3" w:rsidRDefault="00050012" w:rsidP="002D7E56">
      <w:pPr>
        <w:pStyle w:val="ITEABodyText"/>
        <w:numPr>
          <w:ilvl w:val="0"/>
          <w:numId w:val="17"/>
        </w:numPr>
        <w:rPr>
          <w:lang w:val="en-US"/>
        </w:rPr>
      </w:pPr>
      <w:r w:rsidRPr="00000EDB">
        <w:rPr>
          <w:lang w:val="en-US"/>
        </w:rPr>
        <w:t>Fault tolerant vision</w:t>
      </w:r>
      <w:r w:rsidR="001870E0" w:rsidRPr="00000EDB">
        <w:rPr>
          <w:lang w:val="en-US"/>
        </w:rPr>
        <w:t>. WP4 participants</w:t>
      </w:r>
      <w:r w:rsidR="00DC0D85" w:rsidRPr="00000EDB">
        <w:rPr>
          <w:lang w:val="en-US"/>
        </w:rPr>
        <w:t>:</w:t>
      </w:r>
      <w:r w:rsidR="001870E0" w:rsidRPr="00000EDB">
        <w:rPr>
          <w:lang w:val="en-US"/>
        </w:rPr>
        <w:t xml:space="preserve"> Tue, NXP, UT, Recore.</w:t>
      </w:r>
      <w:r w:rsidR="00813E2E" w:rsidRPr="00000EDB">
        <w:rPr>
          <w:lang w:val="en-US"/>
        </w:rPr>
        <w:t xml:space="preserve"> </w:t>
      </w:r>
      <w:r w:rsidR="0066384C" w:rsidRPr="0066384C">
        <w:rPr>
          <w:lang w:val="en-US"/>
        </w:rPr>
        <w:t>Use case provider</w:t>
      </w:r>
      <w:r w:rsidR="0066384C">
        <w:rPr>
          <w:lang w:val="en-US"/>
        </w:rPr>
        <w:t>s</w:t>
      </w:r>
      <w:r w:rsidR="0066384C" w:rsidRPr="0066384C">
        <w:rPr>
          <w:lang w:val="en-US"/>
        </w:rPr>
        <w:t xml:space="preserve">: </w:t>
      </w:r>
      <w:r w:rsidR="0066384C" w:rsidRPr="0066384C">
        <w:t>NXP/Recore</w:t>
      </w:r>
      <w:r w:rsidR="00813E2E" w:rsidRPr="0066384C">
        <w:rPr>
          <w:lang w:val="en-US"/>
        </w:rPr>
        <w:t>.</w:t>
      </w:r>
    </w:p>
    <w:p w14:paraId="23DC809E" w14:textId="42562C3F" w:rsidR="00235BD8" w:rsidRDefault="00050012" w:rsidP="006E2261">
      <w:pPr>
        <w:pStyle w:val="ITEABodyText"/>
        <w:numPr>
          <w:ilvl w:val="0"/>
          <w:numId w:val="17"/>
        </w:numPr>
        <w:rPr>
          <w:lang w:val="en-US"/>
        </w:rPr>
      </w:pPr>
      <w:r w:rsidRPr="00050012">
        <w:rPr>
          <w:lang w:val="en-US"/>
        </w:rPr>
        <w:t>Safe vehicle control</w:t>
      </w:r>
      <w:r w:rsidR="00DC0D85">
        <w:rPr>
          <w:lang w:val="en-US"/>
        </w:rPr>
        <w:t xml:space="preserve">: WP4 participant: </w:t>
      </w:r>
      <w:r w:rsidR="00AD592C" w:rsidRPr="00050012">
        <w:rPr>
          <w:lang w:val="en-US"/>
        </w:rPr>
        <w:t>Verum</w:t>
      </w:r>
      <w:r w:rsidR="00AA2561">
        <w:rPr>
          <w:lang w:val="en-US"/>
        </w:rPr>
        <w:t xml:space="preserve">, </w:t>
      </w:r>
      <w:r w:rsidR="00AA2561" w:rsidRPr="00031254">
        <w:rPr>
          <w:lang w:val="en-US"/>
        </w:rPr>
        <w:t>UT, TNO</w:t>
      </w:r>
      <w:r w:rsidR="00DC0D85" w:rsidRPr="00031254">
        <w:rPr>
          <w:lang w:val="en-US"/>
        </w:rPr>
        <w:t>.</w:t>
      </w:r>
      <w:r w:rsidR="00DC0D85">
        <w:rPr>
          <w:lang w:val="en-US"/>
        </w:rPr>
        <w:t xml:space="preserve"> Use case providers: TNO, VDL.</w:t>
      </w:r>
    </w:p>
    <w:p w14:paraId="5D3F0058" w14:textId="552A8742" w:rsidR="00440BEF" w:rsidRPr="00CB3BA8" w:rsidRDefault="00440BEF" w:rsidP="006E2261">
      <w:pPr>
        <w:pStyle w:val="ITEABodyText"/>
        <w:numPr>
          <w:ilvl w:val="0"/>
          <w:numId w:val="17"/>
        </w:numPr>
        <w:rPr>
          <w:lang w:val="en-US"/>
        </w:rPr>
      </w:pPr>
      <w:r>
        <w:rPr>
          <w:lang w:val="en-US"/>
        </w:rPr>
        <w:t>Consumer electronics. WP4 participan</w:t>
      </w:r>
      <w:r w:rsidR="007E06F5">
        <w:rPr>
          <w:lang w:val="en-US"/>
        </w:rPr>
        <w:t xml:space="preserve">ts: Koç University, Koç Sistem. </w:t>
      </w:r>
    </w:p>
    <w:p w14:paraId="09EA3524" w14:textId="45CDA08D" w:rsidR="000A0EEE" w:rsidRPr="003221B5" w:rsidRDefault="00813E2E" w:rsidP="003221B5">
      <w:pPr>
        <w:pStyle w:val="ITEABodyText"/>
        <w:rPr>
          <w:lang w:val="en-US"/>
        </w:rPr>
      </w:pPr>
      <w:r>
        <w:rPr>
          <w:lang w:val="en-US"/>
        </w:rPr>
        <w:t>T</w:t>
      </w:r>
      <w:r w:rsidR="00235BD8">
        <w:rPr>
          <w:lang w:val="en-US"/>
        </w:rPr>
        <w:t xml:space="preserve">his </w:t>
      </w:r>
      <w:r w:rsidR="00B33B01">
        <w:rPr>
          <w:lang w:val="en-US"/>
        </w:rPr>
        <w:t xml:space="preserve">clustered </w:t>
      </w:r>
      <w:r w:rsidR="00235BD8">
        <w:rPr>
          <w:lang w:val="en-US"/>
        </w:rPr>
        <w:t xml:space="preserve">organization </w:t>
      </w:r>
      <w:r>
        <w:rPr>
          <w:lang w:val="en-US"/>
        </w:rPr>
        <w:t xml:space="preserve">is </w:t>
      </w:r>
      <w:r w:rsidR="00B33B01">
        <w:rPr>
          <w:lang w:val="en-US"/>
        </w:rPr>
        <w:t xml:space="preserve">also </w:t>
      </w:r>
      <w:r>
        <w:rPr>
          <w:lang w:val="en-US"/>
        </w:rPr>
        <w:t xml:space="preserve">followed in the </w:t>
      </w:r>
      <w:r w:rsidR="00B33B01">
        <w:rPr>
          <w:lang w:val="en-US"/>
        </w:rPr>
        <w:t xml:space="preserve">structure of </w:t>
      </w:r>
      <w:r w:rsidR="0071797E">
        <w:rPr>
          <w:lang w:val="en-US"/>
        </w:rPr>
        <w:t>this deliverable.</w:t>
      </w:r>
      <w:r w:rsidR="008275C1">
        <w:rPr>
          <w:lang w:val="en-US"/>
        </w:rPr>
        <w:t xml:space="preserve"> </w:t>
      </w:r>
    </w:p>
    <w:p w14:paraId="79055C8C" w14:textId="77777777" w:rsidR="003E1B95" w:rsidRDefault="009614FA" w:rsidP="0056700E">
      <w:pPr>
        <w:pStyle w:val="ITEAHeading1"/>
        <w:rPr>
          <w:lang w:val="en-US"/>
        </w:rPr>
      </w:pPr>
      <w:bookmarkStart w:id="16" w:name="_Toc398225040"/>
      <w:r>
        <w:rPr>
          <w:lang w:val="en-US"/>
        </w:rPr>
        <w:lastRenderedPageBreak/>
        <w:t>Avionics cluster</w:t>
      </w:r>
      <w:bookmarkEnd w:id="16"/>
    </w:p>
    <w:p w14:paraId="564E9B53" w14:textId="2E9245E3" w:rsidR="009830D5" w:rsidRDefault="0033528F" w:rsidP="00FF1E9C">
      <w:pPr>
        <w:pStyle w:val="ITEABodyText"/>
      </w:pPr>
      <w:r>
        <w:t>The development of avionics embedded applications is subject to strict certification requirements, which resulted in highly formalized</w:t>
      </w:r>
      <w:r w:rsidR="009830D5">
        <w:t xml:space="preserve"> and largely automated</w:t>
      </w:r>
      <w:r>
        <w:t xml:space="preserve"> development</w:t>
      </w:r>
      <w:r w:rsidR="004D1B77">
        <w:t xml:space="preserve"> processes</w:t>
      </w:r>
      <w:r w:rsidR="009830D5">
        <w:t>.</w:t>
      </w:r>
      <w:r>
        <w:t xml:space="preserve"> </w:t>
      </w:r>
      <w:r w:rsidR="00B6522A">
        <w:t>O</w:t>
      </w:r>
      <w:r w:rsidR="009830D5">
        <w:t xml:space="preserve">ur work seeks to </w:t>
      </w:r>
      <w:r w:rsidR="00582FA6">
        <w:t>improve these processes by providing</w:t>
      </w:r>
      <w:r w:rsidR="009830D5">
        <w:t xml:space="preserve"> solutions </w:t>
      </w:r>
      <w:r w:rsidR="0084533A">
        <w:t xml:space="preserve">to </w:t>
      </w:r>
      <w:r w:rsidR="009830D5">
        <w:t xml:space="preserve">the following </w:t>
      </w:r>
      <w:r w:rsidR="00B6522A">
        <w:t>problems</w:t>
      </w:r>
      <w:r w:rsidR="009830D5">
        <w:t>:</w:t>
      </w:r>
    </w:p>
    <w:p w14:paraId="565C9144" w14:textId="4B8EC75E" w:rsidR="00B6522A" w:rsidRDefault="00B40678" w:rsidP="007A07E8">
      <w:pPr>
        <w:pStyle w:val="ITEABodyText"/>
        <w:numPr>
          <w:ilvl w:val="0"/>
          <w:numId w:val="30"/>
        </w:numPr>
      </w:pPr>
      <w:r>
        <w:t xml:space="preserve">Safe and efficient automatic </w:t>
      </w:r>
      <w:r w:rsidR="00B6522A">
        <w:t>p</w:t>
      </w:r>
      <w:r w:rsidR="009830D5">
        <w:t xml:space="preserve">arallelization of </w:t>
      </w:r>
      <w:r>
        <w:t xml:space="preserve">avionics </w:t>
      </w:r>
      <w:r w:rsidR="009830D5">
        <w:t>applications onto multi-/many-core platforms.</w:t>
      </w:r>
    </w:p>
    <w:p w14:paraId="2D28718E" w14:textId="3DF2ABA7" w:rsidR="00582FA6" w:rsidRDefault="00B6522A" w:rsidP="007A07E8">
      <w:pPr>
        <w:pStyle w:val="ITEABodyText"/>
        <w:numPr>
          <w:ilvl w:val="0"/>
          <w:numId w:val="30"/>
        </w:numPr>
      </w:pPr>
      <w:r>
        <w:t>Providing formal correctness guarantees</w:t>
      </w:r>
      <w:r w:rsidR="008F3B24">
        <w:t xml:space="preserve"> </w:t>
      </w:r>
      <w:r>
        <w:t xml:space="preserve">for </w:t>
      </w:r>
      <w:r w:rsidR="00B40678">
        <w:t>avionics software.</w:t>
      </w:r>
    </w:p>
    <w:p w14:paraId="2E01C6CC" w14:textId="5EFFCCF0" w:rsidR="00931903" w:rsidRPr="00FF1E9C" w:rsidRDefault="00931903" w:rsidP="00FF1E9C">
      <w:pPr>
        <w:pStyle w:val="ITEABodyText"/>
      </w:pPr>
    </w:p>
    <w:p w14:paraId="20183F25" w14:textId="77777777" w:rsidR="003E1B95" w:rsidRDefault="00FB1389" w:rsidP="003E1B95">
      <w:pPr>
        <w:pStyle w:val="ITEAHeading2"/>
      </w:pPr>
      <w:bookmarkStart w:id="17" w:name="_Toc398225041"/>
      <w:r>
        <w:t>Analysis of i</w:t>
      </w:r>
      <w:r w:rsidR="003E1B95">
        <w:t xml:space="preserve">ndustrial </w:t>
      </w:r>
      <w:r>
        <w:t>use cases and requirements</w:t>
      </w:r>
      <w:bookmarkEnd w:id="17"/>
      <w:r w:rsidR="003E1B95" w:rsidRPr="003E1B95">
        <w:t xml:space="preserve"> </w:t>
      </w:r>
    </w:p>
    <w:p w14:paraId="5C879DC4" w14:textId="79C73CB7" w:rsidR="005349E9" w:rsidRDefault="005349E9" w:rsidP="00FF1E9C">
      <w:pPr>
        <w:pStyle w:val="ITEABodyText"/>
      </w:pPr>
      <w:r>
        <w:t xml:space="preserve">For the </w:t>
      </w:r>
      <w:r w:rsidR="000618D1">
        <w:t xml:space="preserve">first </w:t>
      </w:r>
      <w:r w:rsidR="00930FA7">
        <w:t>24</w:t>
      </w:r>
      <w:r w:rsidR="000618D1">
        <w:t xml:space="preserve"> months of the project, work of the a</w:t>
      </w:r>
      <w:r w:rsidR="00B40678">
        <w:t>vionics cluster has focused on three</w:t>
      </w:r>
      <w:r w:rsidR="000618D1">
        <w:t xml:space="preserve"> case studies:</w:t>
      </w:r>
    </w:p>
    <w:p w14:paraId="7092BF54" w14:textId="2CFD8A8E" w:rsidR="000618D1" w:rsidRDefault="002C4883" w:rsidP="007A07E8">
      <w:pPr>
        <w:pStyle w:val="ITEABodyText"/>
        <w:numPr>
          <w:ilvl w:val="0"/>
          <w:numId w:val="27"/>
        </w:numPr>
      </w:pPr>
      <w:r>
        <w:rPr>
          <w:i/>
          <w:iCs/>
          <w:szCs w:val="20"/>
        </w:rPr>
        <w:t>AIR_UC01</w:t>
      </w:r>
      <w:r w:rsidR="000618D1">
        <w:rPr>
          <w:i/>
          <w:iCs/>
          <w:szCs w:val="20"/>
        </w:rPr>
        <w:t xml:space="preserve"> (from Airbus) – </w:t>
      </w:r>
      <w:r w:rsidR="003A55FF">
        <w:rPr>
          <w:iCs/>
          <w:szCs w:val="20"/>
        </w:rPr>
        <w:t>control/</w:t>
      </w:r>
      <w:r w:rsidRPr="000618D1">
        <w:rPr>
          <w:iCs/>
          <w:szCs w:val="20"/>
        </w:rPr>
        <w:t>command synchronous application</w:t>
      </w:r>
      <w:r w:rsidR="000618D1" w:rsidRPr="000618D1">
        <w:rPr>
          <w:iCs/>
          <w:szCs w:val="20"/>
        </w:rPr>
        <w:t xml:space="preserve"> of high criticality</w:t>
      </w:r>
    </w:p>
    <w:p w14:paraId="6497FB75" w14:textId="25C0D6C1" w:rsidR="000618D1" w:rsidRPr="000618D1" w:rsidRDefault="002C4883" w:rsidP="007A07E8">
      <w:pPr>
        <w:pStyle w:val="ITEABodyText"/>
        <w:numPr>
          <w:ilvl w:val="0"/>
          <w:numId w:val="27"/>
        </w:numPr>
      </w:pPr>
      <w:r w:rsidRPr="000618D1">
        <w:rPr>
          <w:i/>
          <w:iCs/>
          <w:szCs w:val="20"/>
        </w:rPr>
        <w:t>SAF_UC01</w:t>
      </w:r>
      <w:r w:rsidR="000618D1">
        <w:rPr>
          <w:i/>
          <w:iCs/>
          <w:szCs w:val="20"/>
        </w:rPr>
        <w:t xml:space="preserve"> (from Safran) </w:t>
      </w:r>
      <w:r w:rsidR="000618D1" w:rsidRPr="000618D1">
        <w:rPr>
          <w:iCs/>
          <w:szCs w:val="20"/>
        </w:rPr>
        <w:t xml:space="preserve">– </w:t>
      </w:r>
      <w:r w:rsidRPr="000618D1">
        <w:rPr>
          <w:iCs/>
          <w:szCs w:val="20"/>
        </w:rPr>
        <w:t>synchronous application</w:t>
      </w:r>
      <w:r w:rsidR="000618D1" w:rsidRPr="000618D1">
        <w:rPr>
          <w:iCs/>
          <w:szCs w:val="20"/>
        </w:rPr>
        <w:t xml:space="preserve"> of high criticality</w:t>
      </w:r>
    </w:p>
    <w:p w14:paraId="3A98B266" w14:textId="5B2AEDEC" w:rsidR="00185802" w:rsidRDefault="002C4883" w:rsidP="007A07E8">
      <w:pPr>
        <w:pStyle w:val="ITEABodyText"/>
        <w:numPr>
          <w:ilvl w:val="0"/>
          <w:numId w:val="27"/>
        </w:numPr>
      </w:pPr>
      <w:r w:rsidRPr="000618D1">
        <w:rPr>
          <w:i/>
          <w:iCs/>
          <w:szCs w:val="20"/>
        </w:rPr>
        <w:t>SAF_UC2</w:t>
      </w:r>
      <w:r w:rsidR="000618D1">
        <w:rPr>
          <w:i/>
          <w:iCs/>
          <w:szCs w:val="20"/>
        </w:rPr>
        <w:t xml:space="preserve"> (from Safran)</w:t>
      </w:r>
      <w:r w:rsidRPr="000618D1">
        <w:rPr>
          <w:i/>
          <w:iCs/>
          <w:szCs w:val="20"/>
        </w:rPr>
        <w:t xml:space="preserve"> </w:t>
      </w:r>
      <w:r w:rsidRPr="000618D1">
        <w:rPr>
          <w:iCs/>
          <w:szCs w:val="20"/>
        </w:rPr>
        <w:t>– mix</w:t>
      </w:r>
      <w:r w:rsidR="000618D1" w:rsidRPr="000618D1">
        <w:rPr>
          <w:iCs/>
          <w:szCs w:val="20"/>
        </w:rPr>
        <w:t>ed</w:t>
      </w:r>
      <w:r w:rsidRPr="000618D1">
        <w:rPr>
          <w:iCs/>
          <w:szCs w:val="20"/>
        </w:rPr>
        <w:t xml:space="preserve"> criticality </w:t>
      </w:r>
      <w:r w:rsidR="000618D1">
        <w:rPr>
          <w:iCs/>
          <w:szCs w:val="20"/>
        </w:rPr>
        <w:t>application</w:t>
      </w:r>
      <w:r w:rsidR="000618D1">
        <w:rPr>
          <w:i/>
          <w:iCs/>
          <w:szCs w:val="20"/>
        </w:rPr>
        <w:t xml:space="preserve"> </w:t>
      </w:r>
    </w:p>
    <w:p w14:paraId="1B533E0D" w14:textId="76E485D1" w:rsidR="000618D1" w:rsidRDefault="000618D1" w:rsidP="00FF1E9C">
      <w:pPr>
        <w:pStyle w:val="ITEABodyText"/>
      </w:pPr>
      <w:r>
        <w:t>The</w:t>
      </w:r>
      <w:r w:rsidR="00DC7EFA">
        <w:t>se</w:t>
      </w:r>
      <w:r>
        <w:t xml:space="preserve"> applications share key features:</w:t>
      </w:r>
    </w:p>
    <w:p w14:paraId="638034F7" w14:textId="2B7CFEAA" w:rsidR="000618D1" w:rsidRDefault="000618D1" w:rsidP="007A07E8">
      <w:pPr>
        <w:pStyle w:val="ITEABodyText"/>
        <w:numPr>
          <w:ilvl w:val="0"/>
          <w:numId w:val="28"/>
        </w:numPr>
      </w:pPr>
      <w:r>
        <w:t>High-level data-flow functional modelling</w:t>
      </w:r>
      <w:r w:rsidR="003A55FF">
        <w:t xml:space="preserve"> (</w:t>
      </w:r>
      <w:r>
        <w:t>SCA</w:t>
      </w:r>
      <w:r w:rsidR="003A55FF">
        <w:t>DE,</w:t>
      </w:r>
      <w:r>
        <w:t xml:space="preserve"> Simulink</w:t>
      </w:r>
      <w:r w:rsidR="003A55FF">
        <w:t>, or an in-house formalism</w:t>
      </w:r>
      <w:r>
        <w:t>)</w:t>
      </w:r>
      <w:r w:rsidR="00C0762B">
        <w:t>.</w:t>
      </w:r>
    </w:p>
    <w:p w14:paraId="5620F852" w14:textId="4F6899B8" w:rsidR="00642E25" w:rsidRDefault="000618D1" w:rsidP="007A07E8">
      <w:pPr>
        <w:pStyle w:val="ITEABodyText"/>
        <w:numPr>
          <w:ilvl w:val="0"/>
          <w:numId w:val="28"/>
        </w:numPr>
      </w:pPr>
      <w:r>
        <w:t xml:space="preserve">They are either </w:t>
      </w:r>
      <w:r w:rsidR="003A55FF">
        <w:t xml:space="preserve">high </w:t>
      </w:r>
      <w:r>
        <w:t>critical</w:t>
      </w:r>
      <w:r w:rsidR="003A55FF">
        <w:t>ity</w:t>
      </w:r>
      <w:r>
        <w:t xml:space="preserve"> or mixed criticality applications, meaning that code generation must </w:t>
      </w:r>
      <w:r w:rsidR="00F175A2">
        <w:t>aim for</w:t>
      </w:r>
      <w:r>
        <w:t xml:space="preserve"> high integrity implementations.</w:t>
      </w:r>
    </w:p>
    <w:p w14:paraId="5A6E0F92" w14:textId="6879A2C5" w:rsidR="00247386" w:rsidRDefault="00247386" w:rsidP="00A349D1">
      <w:pPr>
        <w:pStyle w:val="ITEABodyText"/>
      </w:pPr>
      <w:r>
        <w:t xml:space="preserve">On all </w:t>
      </w:r>
      <w:r w:rsidR="002F215A">
        <w:t>3</w:t>
      </w:r>
      <w:r>
        <w:t xml:space="preserve"> applications the common objective is </w:t>
      </w:r>
      <w:r w:rsidR="00642E25">
        <w:t xml:space="preserve">safe and </w:t>
      </w:r>
      <w:r>
        <w:t>efficient automatic parallelization</w:t>
      </w:r>
      <w:r w:rsidR="00642E25">
        <w:t>, with Kalray MPPA as the preferred initial execution platform</w:t>
      </w:r>
      <w:r>
        <w:t xml:space="preserve">. In addition to parallelization, </w:t>
      </w:r>
      <w:r w:rsidR="00F175A2">
        <w:t xml:space="preserve">depending on the case study, main objectives </w:t>
      </w:r>
      <w:r w:rsidR="00582FA6">
        <w:t>are</w:t>
      </w:r>
      <w:r w:rsidR="00F175A2">
        <w:t>:</w:t>
      </w:r>
    </w:p>
    <w:p w14:paraId="4D5D92EE" w14:textId="5CA651AE" w:rsidR="00642E25" w:rsidRDefault="00642E25" w:rsidP="007A07E8">
      <w:pPr>
        <w:pStyle w:val="ITEABodyText"/>
        <w:numPr>
          <w:ilvl w:val="0"/>
          <w:numId w:val="29"/>
        </w:numPr>
      </w:pPr>
      <w:r>
        <w:t xml:space="preserve">Formal verification </w:t>
      </w:r>
      <w:r w:rsidR="00082C2B">
        <w:t xml:space="preserve">of the correctness of the implementation flow, </w:t>
      </w:r>
      <w:r w:rsidR="00893EF2">
        <w:t>either by compiler verification or by translation validation methods. Formal correctness proofs can be useful even on sequential code generators.</w:t>
      </w:r>
    </w:p>
    <w:p w14:paraId="471F3745" w14:textId="484AB373" w:rsidR="00582FA6" w:rsidRDefault="00642E25" w:rsidP="007A07E8">
      <w:pPr>
        <w:pStyle w:val="ITEABodyText"/>
        <w:numPr>
          <w:ilvl w:val="0"/>
          <w:numId w:val="29"/>
        </w:numPr>
      </w:pPr>
      <w:r>
        <w:t>Parallelization under real-time requirements.</w:t>
      </w:r>
    </w:p>
    <w:p w14:paraId="1D664D90" w14:textId="78BA59A9" w:rsidR="002F215A" w:rsidRDefault="002F215A" w:rsidP="007A07E8">
      <w:pPr>
        <w:pStyle w:val="ITEABodyText"/>
        <w:numPr>
          <w:ilvl w:val="0"/>
          <w:numId w:val="29"/>
        </w:numPr>
      </w:pPr>
      <w:r>
        <w:t>Safe interaction between software components of different criticalities.</w:t>
      </w:r>
    </w:p>
    <w:p w14:paraId="07F255A3" w14:textId="77777777" w:rsidR="002F215A" w:rsidRDefault="002F215A" w:rsidP="002F215A">
      <w:pPr>
        <w:pStyle w:val="ITEABodyText"/>
      </w:pPr>
    </w:p>
    <w:p w14:paraId="09C327FD" w14:textId="2648EE9B" w:rsidR="002F215A" w:rsidRDefault="002F215A" w:rsidP="002F215A">
      <w:pPr>
        <w:pStyle w:val="ITEAHeading2"/>
      </w:pPr>
      <w:bookmarkStart w:id="18" w:name="_Toc398225042"/>
      <w:r>
        <w:t>Methodology principles</w:t>
      </w:r>
      <w:bookmarkEnd w:id="18"/>
    </w:p>
    <w:p w14:paraId="1EE1BFFF" w14:textId="7C951510" w:rsidR="002F215A" w:rsidRDefault="002F215A" w:rsidP="002F215A">
      <w:pPr>
        <w:pStyle w:val="ITEABodyText"/>
      </w:pPr>
      <w:r>
        <w:t xml:space="preserve">Following long-standing practice in the avionics industry, the design methodology we propose is based on the use of synchronous languages for the high-level functional specification of applications. More specifically, we shall be using various dialects of the Lustre synchronous data-flow language, whose industrial version SCADE is commercialized by </w:t>
      </w:r>
      <w:r w:rsidR="001E7785">
        <w:t>ESTEREL TECHNOLOGIES</w:t>
      </w:r>
      <w:r>
        <w:t xml:space="preserve">. The standardization of the functional specification level is essential allowing the cost-effective construction of tools. When the industrial process requires the </w:t>
      </w:r>
      <w:r w:rsidR="001A0B0F">
        <w:t>use of a</w:t>
      </w:r>
      <w:r w:rsidR="00AF5426">
        <w:t xml:space="preserve"> </w:t>
      </w:r>
      <w:r w:rsidR="001A0B0F">
        <w:t xml:space="preserve">functional </w:t>
      </w:r>
      <w:r>
        <w:t>specification formalism different from Lustre/SCADE, process-specific automatic translation tools are needed to ensure seamless integration by translation into a Lustre/SCADE dialect.</w:t>
      </w:r>
    </w:p>
    <w:p w14:paraId="558F5E1F" w14:textId="796E0DC4" w:rsidR="002F215A" w:rsidRDefault="002F215A" w:rsidP="002F215A">
      <w:pPr>
        <w:pStyle w:val="ITEABodyText"/>
      </w:pPr>
      <w:r>
        <w:t xml:space="preserve">For parallel and/or real-time implementation, our methodology also requires the formalization of the non-functional specification. Non-functional specification is formed of a description of the execution platform and a set of non-functional requirements of various types. The content of the non-functional specification depends on the </w:t>
      </w:r>
      <w:r w:rsidR="001A0B0F">
        <w:t xml:space="preserve">code generation </w:t>
      </w:r>
      <w:r>
        <w:t>objective</w:t>
      </w:r>
      <w:r w:rsidR="001A0B0F">
        <w:t>s</w:t>
      </w:r>
      <w:r>
        <w:t xml:space="preserve">. It can range from a few parallelization annotations, when the objective is to produce multi-threaded C code, to complex descriptions of both the execution platform (topology, arbitration, timing characterization) and the non-functional requirements (real-time, partitioning, allocation, etc.). </w:t>
      </w:r>
    </w:p>
    <w:p w14:paraId="781AA5D9" w14:textId="6FC2DF40" w:rsidR="002F215A" w:rsidRDefault="002F215A" w:rsidP="002F215A">
      <w:pPr>
        <w:pStyle w:val="ITEABodyText"/>
      </w:pPr>
      <w:r>
        <w:t xml:space="preserve">Starting from the </w:t>
      </w:r>
      <w:r w:rsidR="00130EF7">
        <w:t xml:space="preserve">high-level </w:t>
      </w:r>
      <w:r>
        <w:t xml:space="preserve">functional and non-functional specifications, our methodology requires the use of high-level compilers to produce C code and, if needed, OS configuration files. Resulting C code is then compiled, along with legacy business code and with platform libraries to produce the executable code of the implementation. </w:t>
      </w:r>
    </w:p>
    <w:p w14:paraId="315966D3" w14:textId="6AFBE542" w:rsidR="002F215A" w:rsidRDefault="002F215A" w:rsidP="002F215A">
      <w:pPr>
        <w:pStyle w:val="ITEABodyText"/>
      </w:pPr>
      <w:r>
        <w:lastRenderedPageBreak/>
        <w:t>The result is a seamless flow of automatic transformations going all the way from high-level specificatio</w:t>
      </w:r>
      <w:r w:rsidR="00130EF7">
        <w:t>n to running implementation. Such a</w:t>
      </w:r>
      <w:r>
        <w:t xml:space="preserve"> flow </w:t>
      </w:r>
      <w:r w:rsidR="00130EF7">
        <w:t xml:space="preserve">of transformations </w:t>
      </w:r>
      <w:r>
        <w:t>ensures the correctness of the resulting implementation with respect to the high-level specification provided that:</w:t>
      </w:r>
    </w:p>
    <w:p w14:paraId="4DCA8332" w14:textId="77777777" w:rsidR="002F215A" w:rsidRDefault="002F215A" w:rsidP="002F215A">
      <w:pPr>
        <w:pStyle w:val="ITEABodyText"/>
        <w:numPr>
          <w:ilvl w:val="0"/>
          <w:numId w:val="31"/>
        </w:numPr>
      </w:pPr>
      <w:r>
        <w:t>the platform description faithfully describes the behaviour of the execution platform (HW, libraries, and possibly OS)</w:t>
      </w:r>
    </w:p>
    <w:p w14:paraId="6D17E722" w14:textId="77777777" w:rsidR="002F215A" w:rsidRDefault="002F215A" w:rsidP="002F215A">
      <w:pPr>
        <w:pStyle w:val="ITEABodyText"/>
        <w:numPr>
          <w:ilvl w:val="0"/>
          <w:numId w:val="31"/>
        </w:numPr>
      </w:pPr>
      <w:r>
        <w:t>the high-level compiler and C compiler are correct</w:t>
      </w:r>
    </w:p>
    <w:p w14:paraId="76CBF6AC" w14:textId="521A487F" w:rsidR="002F215A" w:rsidRDefault="002F215A" w:rsidP="002F215A">
      <w:pPr>
        <w:pStyle w:val="ITEABodyText"/>
        <w:numPr>
          <w:ilvl w:val="0"/>
          <w:numId w:val="31"/>
        </w:numPr>
      </w:pPr>
      <w:r>
        <w:t>the (optional) process-specific importer tool is correct</w:t>
      </w:r>
    </w:p>
    <w:p w14:paraId="37CEBAAA" w14:textId="77777777" w:rsidR="0033528F" w:rsidRPr="00FF1E9C" w:rsidRDefault="0033528F" w:rsidP="00B40678">
      <w:pPr>
        <w:pStyle w:val="ITEABodyText"/>
        <w:ind w:left="720"/>
      </w:pPr>
    </w:p>
    <w:p w14:paraId="0EAA0F95" w14:textId="1B37BDD4" w:rsidR="004059DD" w:rsidRPr="00DE4D5C" w:rsidRDefault="009459B2" w:rsidP="00B40678">
      <w:pPr>
        <w:pStyle w:val="ITEAHeading2"/>
      </w:pPr>
      <w:bookmarkStart w:id="19" w:name="_Toc398225043"/>
      <w:r>
        <w:t xml:space="preserve">Proposed tool flow and </w:t>
      </w:r>
      <w:r w:rsidR="003E1B95">
        <w:t>desire</w:t>
      </w:r>
      <w:r>
        <w:t>d tool extensions</w:t>
      </w:r>
      <w:bookmarkEnd w:id="19"/>
    </w:p>
    <w:p w14:paraId="6EA111D2" w14:textId="7E5610D4" w:rsidR="003A4B51" w:rsidRDefault="00AF5426" w:rsidP="003A4B51">
      <w:pPr>
        <w:pStyle w:val="ITEABodyText"/>
      </w:pPr>
      <w:r>
        <w:t>W</w:t>
      </w:r>
      <w:r w:rsidR="003A4B51">
        <w:t>e have integrated the tools of the various partners to fit the global methodology defined above</w:t>
      </w:r>
      <w:r w:rsidR="00CE05CA">
        <w:t xml:space="preserve"> and to address the needs expressed through the industrial use cases</w:t>
      </w:r>
      <w:r w:rsidR="003A4B51">
        <w:t>. To this end, work has advanced on several axes:</w:t>
      </w:r>
    </w:p>
    <w:p w14:paraId="6B59AA0B" w14:textId="326F884C" w:rsidR="00FD01E1" w:rsidRPr="0078510B" w:rsidRDefault="00FD01E1" w:rsidP="00FD01E1">
      <w:pPr>
        <w:pStyle w:val="ITEABodyText"/>
        <w:numPr>
          <w:ilvl w:val="0"/>
          <w:numId w:val="18"/>
        </w:numPr>
        <w:rPr>
          <w:lang w:val="en-US"/>
        </w:rPr>
      </w:pPr>
      <w:r>
        <w:rPr>
          <w:lang w:val="en-US"/>
        </w:rPr>
        <w:t>Formal</w:t>
      </w:r>
      <w:r w:rsidR="00CF00D7">
        <w:rPr>
          <w:lang w:val="en-US"/>
        </w:rPr>
        <w:t xml:space="preserve">ly proved compilation </w:t>
      </w:r>
      <w:r>
        <w:rPr>
          <w:lang w:val="en-US"/>
        </w:rPr>
        <w:t xml:space="preserve">from </w:t>
      </w:r>
      <w:r w:rsidRPr="00050012">
        <w:rPr>
          <w:lang w:val="en-US"/>
        </w:rPr>
        <w:t xml:space="preserve">Scade/Lustre </w:t>
      </w:r>
      <w:r>
        <w:rPr>
          <w:lang w:val="en-US"/>
        </w:rPr>
        <w:t>to sequential</w:t>
      </w:r>
      <w:r w:rsidR="00CF00D7">
        <w:rPr>
          <w:lang w:val="en-US"/>
        </w:rPr>
        <w:t xml:space="preserve"> executable code.</w:t>
      </w:r>
      <w:r w:rsidR="00772E30">
        <w:rPr>
          <w:lang w:val="en-US"/>
        </w:rPr>
        <w:t xml:space="preserve"> The</w:t>
      </w:r>
      <w:r w:rsidR="00B81139">
        <w:rPr>
          <w:lang w:val="en-US"/>
        </w:rPr>
        <w:t xml:space="preserve"> </w:t>
      </w:r>
      <w:r w:rsidR="007701C7">
        <w:rPr>
          <w:lang w:val="en-US"/>
        </w:rPr>
        <w:t xml:space="preserve">formally proved </w:t>
      </w:r>
      <w:r w:rsidR="00B81139">
        <w:rPr>
          <w:lang w:val="en-US"/>
        </w:rPr>
        <w:t>compiler</w:t>
      </w:r>
      <w:r w:rsidR="00772E30">
        <w:rPr>
          <w:lang w:val="en-US"/>
        </w:rPr>
        <w:t xml:space="preserve"> </w:t>
      </w:r>
      <w:r w:rsidR="00AF5426">
        <w:rPr>
          <w:lang w:val="en-US"/>
        </w:rPr>
        <w:t>velus (</w:t>
      </w:r>
      <w:r w:rsidR="00772E30" w:rsidRPr="00000EDB">
        <w:rPr>
          <w:u w:val="single"/>
          <w:lang w:val="en-US"/>
        </w:rPr>
        <w:t>Ve</w:t>
      </w:r>
      <w:r w:rsidR="00772E30">
        <w:rPr>
          <w:lang w:val="en-US"/>
        </w:rPr>
        <w:t xml:space="preserve">rified </w:t>
      </w:r>
      <w:r w:rsidR="00772E30" w:rsidRPr="00000EDB">
        <w:rPr>
          <w:u w:val="single"/>
          <w:lang w:val="en-US"/>
        </w:rPr>
        <w:t>Lus</w:t>
      </w:r>
      <w:r w:rsidR="00772E30">
        <w:rPr>
          <w:lang w:val="en-US"/>
        </w:rPr>
        <w:t>tre</w:t>
      </w:r>
      <w:r w:rsidR="00AF5426">
        <w:rPr>
          <w:lang w:val="en-US"/>
        </w:rPr>
        <w:t>)</w:t>
      </w:r>
      <w:r w:rsidR="00B81139">
        <w:rPr>
          <w:lang w:val="en-US"/>
        </w:rPr>
        <w:t xml:space="preserve"> from a dialect of Lustre to C has been completed and interconne</w:t>
      </w:r>
      <w:r w:rsidR="001D67B2">
        <w:rPr>
          <w:lang w:val="en-US"/>
        </w:rPr>
        <w:t xml:space="preserve">cted with the CompCert </w:t>
      </w:r>
      <w:r w:rsidR="007701C7">
        <w:rPr>
          <w:lang w:val="en-US"/>
        </w:rPr>
        <w:t xml:space="preserve">C </w:t>
      </w:r>
      <w:r w:rsidR="001D67B2">
        <w:rPr>
          <w:lang w:val="en-US"/>
        </w:rPr>
        <w:t xml:space="preserve">compiler. </w:t>
      </w:r>
      <w:r w:rsidR="0092572B">
        <w:rPr>
          <w:lang w:val="en-US"/>
        </w:rPr>
        <w:t>The Scade</w:t>
      </w:r>
      <w:r w:rsidR="00AF5426">
        <w:rPr>
          <w:lang w:val="en-US"/>
        </w:rPr>
        <w:t xml:space="preserve"> KCG compiler has been extended with a back-end producing the C dialect accepted by CompCert (Clight).</w:t>
      </w:r>
    </w:p>
    <w:p w14:paraId="52ECC134" w14:textId="311F720D" w:rsidR="00CE05CA" w:rsidRDefault="00FF1E9C" w:rsidP="005E0E33">
      <w:pPr>
        <w:pStyle w:val="ITEABodyText"/>
        <w:numPr>
          <w:ilvl w:val="0"/>
          <w:numId w:val="18"/>
        </w:numPr>
        <w:rPr>
          <w:lang w:val="en-US"/>
        </w:rPr>
      </w:pPr>
      <w:r w:rsidRPr="00050012">
        <w:rPr>
          <w:lang w:val="en-US"/>
        </w:rPr>
        <w:t>Generating parallel code for the industrial use cases and the project platforms (</w:t>
      </w:r>
      <w:r>
        <w:rPr>
          <w:lang w:val="en-US"/>
        </w:rPr>
        <w:t xml:space="preserve">including, but not restricted to </w:t>
      </w:r>
      <w:r w:rsidRPr="00050012">
        <w:rPr>
          <w:lang w:val="en-US"/>
        </w:rPr>
        <w:t>Kalray MPPA)</w:t>
      </w:r>
      <w:r>
        <w:rPr>
          <w:lang w:val="en-US"/>
        </w:rPr>
        <w:t>, for both real-time and non-real-time targets.</w:t>
      </w:r>
      <w:r w:rsidR="00B81139">
        <w:rPr>
          <w:lang w:val="en-US"/>
        </w:rPr>
        <w:t xml:space="preserve"> </w:t>
      </w:r>
    </w:p>
    <w:p w14:paraId="6AD8FEA3" w14:textId="77777777" w:rsidR="00CE05CA" w:rsidRDefault="002F1509" w:rsidP="00CE05CA">
      <w:pPr>
        <w:pStyle w:val="ITEABodyText"/>
        <w:numPr>
          <w:ilvl w:val="1"/>
          <w:numId w:val="18"/>
        </w:numPr>
        <w:rPr>
          <w:lang w:val="en-US"/>
        </w:rPr>
      </w:pPr>
      <w:r>
        <w:rPr>
          <w:lang w:val="en-US"/>
        </w:rPr>
        <w:t xml:space="preserve">The Scade KCG compiler has been extended to allow parallel code generation and manual allocation of the parallel threads onto the target MPPA256 platform. </w:t>
      </w:r>
    </w:p>
    <w:p w14:paraId="3989B02E" w14:textId="46D08555" w:rsidR="006A3CC6" w:rsidRDefault="002F1509" w:rsidP="006A3CC6">
      <w:pPr>
        <w:pStyle w:val="ITEABodyText"/>
        <w:numPr>
          <w:ilvl w:val="1"/>
          <w:numId w:val="18"/>
        </w:numPr>
        <w:rPr>
          <w:lang w:val="en-US"/>
        </w:rPr>
      </w:pPr>
      <w:r>
        <w:rPr>
          <w:lang w:val="en-US"/>
        </w:rPr>
        <w:t xml:space="preserve">The </w:t>
      </w:r>
      <w:r w:rsidR="005E0E33">
        <w:rPr>
          <w:lang w:val="en-US"/>
        </w:rPr>
        <w:t>Heptagon/Lopht tool flow has been improved with a simpler language for specifyi</w:t>
      </w:r>
      <w:r w:rsidR="004D3B95">
        <w:rPr>
          <w:lang w:val="en-US"/>
        </w:rPr>
        <w:t xml:space="preserve">ng non-functional requirements. A </w:t>
      </w:r>
      <w:r w:rsidR="0052535A">
        <w:rPr>
          <w:lang w:val="en-US"/>
        </w:rPr>
        <w:t xml:space="preserve">formally proved translation validation tool has been developed for a </w:t>
      </w:r>
      <w:r w:rsidR="00CE05CA">
        <w:rPr>
          <w:lang w:val="en-US"/>
        </w:rPr>
        <w:t xml:space="preserve">restricted version of the </w:t>
      </w:r>
      <w:r w:rsidR="004D3B95">
        <w:rPr>
          <w:lang w:val="en-US"/>
        </w:rPr>
        <w:t>Lopht</w:t>
      </w:r>
      <w:r w:rsidR="00CE05CA">
        <w:rPr>
          <w:lang w:val="en-US"/>
        </w:rPr>
        <w:t xml:space="preserve"> tool</w:t>
      </w:r>
      <w:r w:rsidR="0092572B">
        <w:rPr>
          <w:lang w:val="en-US"/>
        </w:rPr>
        <w:t>.The Lopht tool has been extended to provide static guarantees of respect of the real-time requirements on the Kalray MPPA256 platform.</w:t>
      </w:r>
    </w:p>
    <w:p w14:paraId="1E67204F" w14:textId="0081EAC1" w:rsidR="006A3CC6" w:rsidRPr="006A3CC6" w:rsidRDefault="004266A0" w:rsidP="006A3CC6">
      <w:pPr>
        <w:pStyle w:val="ITEABodyText"/>
        <w:ind w:left="709"/>
        <w:rPr>
          <w:lang w:val="en-US"/>
        </w:rPr>
      </w:pPr>
      <w:r>
        <w:rPr>
          <w:lang w:val="en-US"/>
        </w:rPr>
        <w:t>In both cases, code gener</w:t>
      </w:r>
      <w:r w:rsidR="006A3CC6">
        <w:rPr>
          <w:lang w:val="en-US"/>
        </w:rPr>
        <w:t>ation targets simple APIs facilitating the retargeting of the code generator.</w:t>
      </w:r>
    </w:p>
    <w:p w14:paraId="12E683EC" w14:textId="4897F282" w:rsidR="00FF1E9C" w:rsidRPr="0078510B" w:rsidRDefault="00FF1E9C" w:rsidP="00FF1E9C">
      <w:pPr>
        <w:pStyle w:val="ITEABodyText"/>
        <w:numPr>
          <w:ilvl w:val="0"/>
          <w:numId w:val="18"/>
        </w:numPr>
        <w:rPr>
          <w:lang w:val="en-US"/>
        </w:rPr>
      </w:pPr>
      <w:r>
        <w:t>Design of run-time communication and synchronization</w:t>
      </w:r>
      <w:r w:rsidRPr="00050012">
        <w:t xml:space="preserve"> primitives</w:t>
      </w:r>
      <w:r w:rsidR="0092572B">
        <w:t xml:space="preserve"> facilitating scheduling and code generation. These primitives can be </w:t>
      </w:r>
      <w:r w:rsidRPr="00050012">
        <w:t>verified against weakly consistent shared memory models (Kalray MPPA, Arinc 653)</w:t>
      </w:r>
      <w:r w:rsidR="002F1509">
        <w:t>, using the Litmus tool.</w:t>
      </w:r>
    </w:p>
    <w:p w14:paraId="305FBC84" w14:textId="500CA90D" w:rsidR="00FF1E9C" w:rsidRPr="001E02D4" w:rsidRDefault="002F1509" w:rsidP="00FF1E9C">
      <w:pPr>
        <w:pStyle w:val="ITEABodyText"/>
        <w:numPr>
          <w:ilvl w:val="0"/>
          <w:numId w:val="18"/>
        </w:numPr>
        <w:rPr>
          <w:lang w:val="en-US"/>
        </w:rPr>
      </w:pPr>
      <w:r>
        <w:t>Construction of process-speci</w:t>
      </w:r>
      <w:r w:rsidR="00A617EF">
        <w:t xml:space="preserve">fic automatic translation tools, application to use cases, and </w:t>
      </w:r>
      <w:r w:rsidR="00FF1E9C">
        <w:t xml:space="preserve">providing </w:t>
      </w:r>
      <w:r w:rsidR="00FF1E9C" w:rsidRPr="00050012">
        <w:t xml:space="preserve">feedback to </w:t>
      </w:r>
      <w:r w:rsidR="00FF1E9C">
        <w:t xml:space="preserve">use case </w:t>
      </w:r>
      <w:r w:rsidR="00FF1E9C" w:rsidRPr="00050012">
        <w:t>providers</w:t>
      </w:r>
      <w:r w:rsidR="0092572B">
        <w:t xml:space="preserve"> (Airbus and Safran)</w:t>
      </w:r>
      <w:r w:rsidR="00A617EF">
        <w:t>.</w:t>
      </w:r>
    </w:p>
    <w:p w14:paraId="65C7ADFF" w14:textId="0D9D0C1F" w:rsidR="00A82046" w:rsidRDefault="00FF1E9C" w:rsidP="00BC2195">
      <w:pPr>
        <w:pStyle w:val="ITEABodyText"/>
        <w:rPr>
          <w:lang w:val="en-US"/>
        </w:rPr>
      </w:pPr>
      <w:r>
        <w:rPr>
          <w:lang w:val="en-US"/>
        </w:rPr>
        <w:t xml:space="preserve">Work along these axes </w:t>
      </w:r>
      <w:r w:rsidR="003A4B51">
        <w:rPr>
          <w:lang w:val="en-US"/>
        </w:rPr>
        <w:t xml:space="preserve">resulted in the </w:t>
      </w:r>
      <w:r>
        <w:rPr>
          <w:lang w:val="en-US"/>
        </w:rPr>
        <w:t>tool flow whose</w:t>
      </w:r>
      <w:r w:rsidR="003A4B51">
        <w:rPr>
          <w:lang w:val="en-US"/>
        </w:rPr>
        <w:t xml:space="preserve"> current</w:t>
      </w:r>
      <w:r w:rsidR="0008101D">
        <w:rPr>
          <w:lang w:val="en-US"/>
        </w:rPr>
        <w:t xml:space="preserve"> structure is presented in Fig. 1</w:t>
      </w:r>
      <w:r>
        <w:rPr>
          <w:lang w:val="en-US"/>
        </w:rPr>
        <w:t>. The tool flow incorporates the tools of all cluster partners</w:t>
      </w:r>
      <w:r w:rsidR="005561BA">
        <w:rPr>
          <w:lang w:val="en-US"/>
        </w:rPr>
        <w:t>.</w:t>
      </w:r>
      <w:r>
        <w:rPr>
          <w:lang w:val="en-US"/>
        </w:rPr>
        <w:t xml:space="preserve"> </w:t>
      </w:r>
    </w:p>
    <w:p w14:paraId="5CBFF9E0" w14:textId="77777777" w:rsidR="00BC2195" w:rsidRDefault="00BC2195" w:rsidP="00BC2195">
      <w:pPr>
        <w:pStyle w:val="ITEABodyText"/>
      </w:pPr>
      <w:r>
        <w:t>The inputs of the tool flow, on the left, can be roughly divided in 2 categories:</w:t>
      </w:r>
    </w:p>
    <w:p w14:paraId="4BE1F9EA" w14:textId="6D323F74" w:rsidR="00BC2195" w:rsidRDefault="00BC2195" w:rsidP="00BC2195">
      <w:pPr>
        <w:pStyle w:val="ITEABodyText"/>
        <w:numPr>
          <w:ilvl w:val="0"/>
          <w:numId w:val="19"/>
        </w:numPr>
      </w:pPr>
      <w:r>
        <w:t>Functional specification (blue boxes) is provided in a dialect of Lustre/Scade, possibly extended to allow a more natural modelling of multi-rate or multi-period systems. For the Velus (verified Lustre) compiler, this language is called itself Velus, and it is a strict sub-set of Lustre. The other dialects (Scade, Lustre, Heptagon) are quite close to one another in syntax and expressive power, to the point where some tools (e.g. the Heptagon compiler) can already take several of them as input without changes in the internal data structures. The</w:t>
      </w:r>
      <w:r w:rsidR="006034C2">
        <w:t xml:space="preserve"> results of the</w:t>
      </w:r>
      <w:r>
        <w:t xml:space="preserve"> ASSUME project </w:t>
      </w:r>
      <w:r w:rsidR="006034C2">
        <w:t>may</w:t>
      </w:r>
      <w:r>
        <w:t xml:space="preserve"> lead to </w:t>
      </w:r>
      <w:r w:rsidR="006034C2">
        <w:t xml:space="preserve">further </w:t>
      </w:r>
      <w:r>
        <w:t xml:space="preserve">convergence between these formalisms, but specific aspects should remain, given that Scade is designed by </w:t>
      </w:r>
      <w:r w:rsidR="001E7785">
        <w:t>ESTEREL TECHNOLOGIES</w:t>
      </w:r>
      <w:r>
        <w:t xml:space="preserve"> as part of a commercial product, whereas Heptagon and Lustre are academic tools. </w:t>
      </w:r>
    </w:p>
    <w:p w14:paraId="373D634B" w14:textId="4C500208" w:rsidR="00BC2195" w:rsidRDefault="00BC2195" w:rsidP="00BC2195">
      <w:pPr>
        <w:pStyle w:val="ITEABodyText"/>
        <w:numPr>
          <w:ilvl w:val="0"/>
          <w:numId w:val="19"/>
        </w:numPr>
      </w:pPr>
      <w:r>
        <w:t>Non-functional specification is divided between platform descriptions (in red) and non-functional requirements (in purple). Typical non-functional requirements are real-time requirements, allocation requirements, etc. Typical platform description features include the number and type of processors, the memory hierarchy, the on-chip networks, etc. During the duration of ASSUME, both Scade and Heptagon were extended with annotations allowing the specification of non-functional requirements (e.g. parallelization, allocation, or real-time). This means that the frontier between the functional and non-functional specifications becomes increasingly blurred.</w:t>
      </w:r>
    </w:p>
    <w:p w14:paraId="2C0BD390" w14:textId="77777777" w:rsidR="00BC2195" w:rsidRDefault="00BC2195" w:rsidP="00BC2195">
      <w:pPr>
        <w:pStyle w:val="ITEABodyText"/>
        <w:rPr>
          <w:lang w:val="en-US"/>
        </w:rPr>
      </w:pPr>
    </w:p>
    <w:p w14:paraId="2F630BAC" w14:textId="77777777" w:rsidR="00A82046" w:rsidRDefault="00A82046" w:rsidP="00A82046">
      <w:pPr>
        <w:pStyle w:val="ITEABodyText"/>
        <w:keepNext/>
      </w:pPr>
      <w:r>
        <w:rPr>
          <w:noProof/>
          <w:lang w:val="en-US" w:eastAsia="en-US"/>
        </w:rPr>
        <w:drawing>
          <wp:inline distT="0" distB="0" distL="0" distR="0" wp14:anchorId="37AC6B11" wp14:editId="0DDDEB00">
            <wp:extent cx="6593840" cy="494538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pdf"/>
                    <pic:cNvPicPr/>
                  </pic:nvPicPr>
                  <pic:blipFill>
                    <a:blip r:embed="rId14">
                      <a:extLst>
                        <a:ext uri="{28A0092B-C50C-407E-A947-70E740481C1C}">
                          <a14:useLocalDpi xmlns:a14="http://schemas.microsoft.com/office/drawing/2010/main" val="0"/>
                        </a:ext>
                      </a:extLst>
                    </a:blip>
                    <a:stretch>
                      <a:fillRect/>
                    </a:stretch>
                  </pic:blipFill>
                  <pic:spPr>
                    <a:xfrm>
                      <a:off x="0" y="0"/>
                      <a:ext cx="6593840" cy="4945380"/>
                    </a:xfrm>
                    <a:prstGeom prst="rect">
                      <a:avLst/>
                    </a:prstGeom>
                  </pic:spPr>
                </pic:pic>
              </a:graphicData>
            </a:graphic>
          </wp:inline>
        </w:drawing>
      </w:r>
    </w:p>
    <w:p w14:paraId="2DC09B9B" w14:textId="73402A6C" w:rsidR="00FF1E9C" w:rsidRDefault="00A82046" w:rsidP="00A82046">
      <w:pPr>
        <w:pStyle w:val="Caption"/>
      </w:pPr>
      <w:r>
        <w:t xml:space="preserve">Figure </w:t>
      </w:r>
      <w:r>
        <w:fldChar w:fldCharType="begin"/>
      </w:r>
      <w:r>
        <w:instrText xml:space="preserve"> SEQ Figure \* ARABIC </w:instrText>
      </w:r>
      <w:r>
        <w:fldChar w:fldCharType="separate"/>
      </w:r>
      <w:r w:rsidR="00E827D1">
        <w:rPr>
          <w:noProof/>
        </w:rPr>
        <w:t>1</w:t>
      </w:r>
      <w:r>
        <w:fldChar w:fldCharType="end"/>
      </w:r>
      <w:r>
        <w:t xml:space="preserve"> Tool flow organization of the WP4 avionics cluster</w:t>
      </w:r>
    </w:p>
    <w:p w14:paraId="0D49B200" w14:textId="15560A3A" w:rsidR="00FF1E9C" w:rsidRDefault="00FF1E9C" w:rsidP="00FF1E9C">
      <w:pPr>
        <w:pStyle w:val="ITEABodyText"/>
      </w:pPr>
      <w:r>
        <w:t>The functional and non-functional specifications are used by the three high-level compilation tools whose development embodies efforts on the various R&amp;D axes:</w:t>
      </w:r>
    </w:p>
    <w:p w14:paraId="5F3E6198" w14:textId="77777777" w:rsidR="00FF1E9C" w:rsidRDefault="00FF1E9C" w:rsidP="007A07E8">
      <w:pPr>
        <w:pStyle w:val="ITEABodyText"/>
        <w:numPr>
          <w:ilvl w:val="0"/>
          <w:numId w:val="19"/>
        </w:numPr>
      </w:pPr>
      <w:r>
        <w:t>Velus focuses on formally verified compilation</w:t>
      </w:r>
    </w:p>
    <w:p w14:paraId="7732FBE0" w14:textId="02D3DCE7" w:rsidR="00FF1E9C" w:rsidRDefault="00FF1E9C" w:rsidP="007A07E8">
      <w:pPr>
        <w:pStyle w:val="ITEABodyText"/>
        <w:numPr>
          <w:ilvl w:val="0"/>
          <w:numId w:val="19"/>
        </w:numPr>
      </w:pPr>
      <w:r>
        <w:t>The extended Scade v6 compiler focuses on generation of parallel code</w:t>
      </w:r>
      <w:r w:rsidR="00772E30">
        <w:t xml:space="preserve"> where allocation is manually specified.</w:t>
      </w:r>
    </w:p>
    <w:p w14:paraId="79F5C3A5" w14:textId="0914AD9C" w:rsidR="00FF1E9C" w:rsidRDefault="00FF1E9C" w:rsidP="007A07E8">
      <w:pPr>
        <w:pStyle w:val="ITEABodyText"/>
        <w:numPr>
          <w:ilvl w:val="0"/>
          <w:numId w:val="19"/>
        </w:numPr>
      </w:pPr>
      <w:r>
        <w:t>The Heptago</w:t>
      </w:r>
      <w:r w:rsidR="006034C2">
        <w:t>n/</w:t>
      </w:r>
      <w:r>
        <w:t>Lopht compiler</w:t>
      </w:r>
      <w:r w:rsidR="006034C2">
        <w:t xml:space="preserve"> flow</w:t>
      </w:r>
      <w:r>
        <w:t xml:space="preserve"> </w:t>
      </w:r>
      <w:r w:rsidR="00772E30">
        <w:t>allow</w:t>
      </w:r>
      <w:r w:rsidR="006034C2">
        <w:t>s</w:t>
      </w:r>
      <w:r w:rsidR="00772E30">
        <w:t xml:space="preserve"> </w:t>
      </w:r>
      <w:r w:rsidR="00BC2195">
        <w:t xml:space="preserve">the generation </w:t>
      </w:r>
      <w:r w:rsidR="00523257">
        <w:t xml:space="preserve">of </w:t>
      </w:r>
      <w:r w:rsidR="001E7785">
        <w:t>parallel real-time code for which a</w:t>
      </w:r>
      <w:r w:rsidR="00BC2195">
        <w:t xml:space="preserve">llocation and real-time scheduling </w:t>
      </w:r>
      <w:r w:rsidR="006034C2">
        <w:t>is</w:t>
      </w:r>
      <w:r w:rsidR="00BC2195">
        <w:t xml:space="preserve"> automatically synthesized.</w:t>
      </w:r>
    </w:p>
    <w:p w14:paraId="645F9A22" w14:textId="77D38568" w:rsidR="00FF1E9C" w:rsidRDefault="00FF1E9C" w:rsidP="00FF1E9C">
      <w:pPr>
        <w:pStyle w:val="ITEABodyText"/>
      </w:pPr>
      <w:r>
        <w:t xml:space="preserve">In all 3 cases, </w:t>
      </w:r>
      <w:r w:rsidR="00BC2195">
        <w:t xml:space="preserve">the output of the high-level compiler </w:t>
      </w:r>
      <w:r>
        <w:t xml:space="preserve">is C code, and possibly some configuration information directed to the lower-level tools (loader) and to the runtime. In addition to generated code, intermediate artefacts can be output, such as the scheduling tables or allocation information, facilitating external verification of the system correction. </w:t>
      </w:r>
    </w:p>
    <w:p w14:paraId="42A8FAAB" w14:textId="2839EE70" w:rsidR="00FF1E9C" w:rsidRDefault="00FF1E9C" w:rsidP="00FF1E9C">
      <w:pPr>
        <w:pStyle w:val="ITEABodyText"/>
      </w:pPr>
      <w:r>
        <w:t>If the objective is to provide formal correctness guarantees, then</w:t>
      </w:r>
      <w:r w:rsidR="00BC2195">
        <w:t xml:space="preserve"> the C code output by the </w:t>
      </w:r>
      <w:r>
        <w:t xml:space="preserve">high-level compilation tools must be in turn compiled using CompCert (but gcc is currently used on the Heptagon/Lopht branch, as it allows very precise control over memory allocation and optimization). </w:t>
      </w:r>
    </w:p>
    <w:p w14:paraId="67A556AC" w14:textId="2EC138DE" w:rsidR="00FF1E9C" w:rsidRDefault="00FF1E9C" w:rsidP="00FF1E9C">
      <w:pPr>
        <w:pStyle w:val="ITEABodyText"/>
      </w:pPr>
      <w:r>
        <w:t>The Litmus tool is needed to validate efficient communication/synchronization primitives against the model of the memory sub-system</w:t>
      </w:r>
      <w:r w:rsidR="001D3E09">
        <w:t>.</w:t>
      </w:r>
      <w:r>
        <w:t xml:space="preserve"> </w:t>
      </w:r>
    </w:p>
    <w:p w14:paraId="4CFAFB8C" w14:textId="77777777" w:rsidR="004B6F6F" w:rsidRDefault="00FF1E9C" w:rsidP="00FF1E9C">
      <w:pPr>
        <w:pStyle w:val="ITEABodyText"/>
      </w:pPr>
      <w:r>
        <w:t xml:space="preserve">The following sub-sections present the </w:t>
      </w:r>
      <w:r w:rsidR="0072633D">
        <w:t>current status and desired tool extensions of the individual partners’ tools.</w:t>
      </w:r>
    </w:p>
    <w:p w14:paraId="7B22B466" w14:textId="77777777" w:rsidR="00670383" w:rsidRPr="00670383" w:rsidRDefault="00670383" w:rsidP="0000698F">
      <w:pPr>
        <w:pStyle w:val="ITEAHeading3"/>
      </w:pPr>
      <w:bookmarkStart w:id="20" w:name="_Toc398225044"/>
      <w:r w:rsidRPr="00670383">
        <w:lastRenderedPageBreak/>
        <w:t>Verified Lustre</w:t>
      </w:r>
      <w:bookmarkEnd w:id="20"/>
      <w:r w:rsidR="00890AD2">
        <w:tab/>
      </w:r>
    </w:p>
    <w:p w14:paraId="0D6C25A6" w14:textId="384237A1" w:rsidR="003059BB" w:rsidRPr="004266A0" w:rsidRDefault="003059BB" w:rsidP="003059BB">
      <w:pPr>
        <w:pStyle w:val="ITEABodyText"/>
        <w:rPr>
          <w:lang w:val="en-US"/>
        </w:rPr>
      </w:pPr>
      <w:r w:rsidRPr="004266A0">
        <w:rPr>
          <w:lang w:val="en-US"/>
        </w:rPr>
        <w:t xml:space="preserve">Solid progress has been made on </w:t>
      </w:r>
      <w:r w:rsidR="00F708E8">
        <w:rPr>
          <w:lang w:val="en-US"/>
        </w:rPr>
        <w:t>turning the Vélus compiler</w:t>
      </w:r>
      <w:r w:rsidRPr="004266A0">
        <w:rPr>
          <w:lang w:val="en-US"/>
        </w:rPr>
        <w:t xml:space="preserve"> into a practical tool that can run on real code. An overview of the curre</w:t>
      </w:r>
      <w:r w:rsidR="00DC631A" w:rsidRPr="004266A0">
        <w:rPr>
          <w:lang w:val="en-US"/>
        </w:rPr>
        <w:t>nt state is shown in Figure 2</w:t>
      </w:r>
      <w:r w:rsidRPr="004266A0">
        <w:rPr>
          <w:lang w:val="en-US"/>
        </w:rPr>
        <w:t xml:space="preserve">. Most recently, we have implemented a parser and elaboration routine, added the scheduling pass, improved the ability to display intermediate results, and refined the final correctness lemma. These results are explained in more detail in the following.  </w:t>
      </w:r>
    </w:p>
    <w:p w14:paraId="0A21E435" w14:textId="77777777" w:rsidR="003059BB" w:rsidRPr="004266A0" w:rsidRDefault="003059BB" w:rsidP="003059BB">
      <w:pPr>
        <w:pStyle w:val="ITEABodyText"/>
        <w:rPr>
          <w:lang w:val="en-US"/>
        </w:rPr>
      </w:pPr>
      <w:r w:rsidRPr="004266A0">
        <w:rPr>
          <w:lang w:val="en-US"/>
        </w:rPr>
        <w:t xml:space="preserve">The parser was implemented using the menhir software which also generates proofs of completeness and correctness in the Coq proof assistant. The elaboration routine turns an unannotated syntax tree into one annotated with types and clocks. In the context of a verified compiler like ours, it also verifies the correctness of these annotations and several other required invariants. That is, it formally validates assumptions used in later passes and their proofs of correctness.  </w:t>
      </w:r>
    </w:p>
    <w:p w14:paraId="0C3A138E" w14:textId="77777777" w:rsidR="003059BB" w:rsidRDefault="003059BB" w:rsidP="003059BB">
      <w:pPr>
        <w:pStyle w:val="ITEABodyText"/>
        <w:keepNext/>
      </w:pPr>
      <w:r>
        <w:rPr>
          <w:noProof/>
          <w:lang w:val="en-US" w:eastAsia="en-US"/>
        </w:rPr>
        <w:drawing>
          <wp:inline distT="0" distB="0" distL="0" distR="0" wp14:anchorId="7121F980" wp14:editId="6928C500">
            <wp:extent cx="6593840" cy="11537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chain_status.pdf"/>
                    <pic:cNvPicPr/>
                  </pic:nvPicPr>
                  <pic:blipFill>
                    <a:blip r:embed="rId15">
                      <a:extLst>
                        <a:ext uri="{28A0092B-C50C-407E-A947-70E740481C1C}">
                          <a14:useLocalDpi xmlns:a14="http://schemas.microsoft.com/office/drawing/2010/main" val="0"/>
                        </a:ext>
                      </a:extLst>
                    </a:blip>
                    <a:stretch>
                      <a:fillRect/>
                    </a:stretch>
                  </pic:blipFill>
                  <pic:spPr>
                    <a:xfrm>
                      <a:off x="0" y="0"/>
                      <a:ext cx="6593840" cy="1153795"/>
                    </a:xfrm>
                    <a:prstGeom prst="rect">
                      <a:avLst/>
                    </a:prstGeom>
                  </pic:spPr>
                </pic:pic>
              </a:graphicData>
            </a:graphic>
          </wp:inline>
        </w:drawing>
      </w:r>
    </w:p>
    <w:p w14:paraId="5AAF8658" w14:textId="28F976ED" w:rsidR="003059BB" w:rsidRPr="001E7785" w:rsidRDefault="003059BB" w:rsidP="00DC631A">
      <w:pPr>
        <w:pStyle w:val="Caption"/>
        <w:rPr>
          <w:lang w:val="en-US"/>
        </w:rPr>
      </w:pPr>
      <w:r>
        <w:t xml:space="preserve">Figure </w:t>
      </w:r>
      <w:r w:rsidR="007B3027">
        <w:t>2</w:t>
      </w:r>
      <w:r>
        <w:t>. Velus toolchain status</w:t>
      </w:r>
    </w:p>
    <w:p w14:paraId="1999DC78" w14:textId="77777777" w:rsidR="003059BB" w:rsidRPr="001E7785" w:rsidRDefault="003059BB" w:rsidP="003059BB">
      <w:pPr>
        <w:pStyle w:val="ITEABodyText"/>
        <w:rPr>
          <w:lang w:val="en-US"/>
        </w:rPr>
      </w:pPr>
      <w:r w:rsidRPr="001E7785">
        <w:rPr>
          <w:lang w:val="en-US"/>
        </w:rPr>
        <w:t xml:space="preserve">The scheduling pass orders the dataflow equations based on their interdependencies. The semantics of these equations is independent of their order, but this order is maintained in the generation of imperative code whose semantics does depend on it. Our implementation calls an external OCaml routine to find a suitable schedule or print an error message explaining why this is impossible. The reordering itself is done by a verified sorting routine (from the Coq standard library) and then validated by a verified decision procedure. This approach gives greater liberty in implementing equation scheduling and maintains the same high level of correctness guarantees but without requiring complicated proofs. Besides satisfying the data dependencies, the scheduler tries to place similarly activated equations together to increase the effectiveness of a later fusion optimization on the imperative (Obc) code. Finding an optimal ordering is NP-hard, so we implement a greedy algorithm based on simple heuristics.  </w:t>
      </w:r>
    </w:p>
    <w:p w14:paraId="58ED0D43" w14:textId="77777777" w:rsidR="003059BB" w:rsidRPr="001E7785" w:rsidRDefault="003059BB" w:rsidP="003059BB">
      <w:pPr>
        <w:pStyle w:val="ITEABodyText"/>
        <w:rPr>
          <w:lang w:val="en-US"/>
        </w:rPr>
      </w:pPr>
      <w:r w:rsidRPr="001E7785">
        <w:rPr>
          <w:lang w:val="en-US"/>
        </w:rPr>
        <w:t xml:space="preserve">We have implemented several “pretty printers” to display the results of intermediate compilation passes. This is straightforward and standard practice, but greatly aids debugging and practical evaluation of the tool chain.  </w:t>
      </w:r>
    </w:p>
    <w:p w14:paraId="6039BC47" w14:textId="77777777" w:rsidR="003059BB" w:rsidRPr="001E7785" w:rsidRDefault="003059BB" w:rsidP="003059BB">
      <w:pPr>
        <w:pStyle w:val="ITEABodyText"/>
        <w:rPr>
          <w:lang w:val="en-US"/>
        </w:rPr>
      </w:pPr>
      <w:r w:rsidRPr="001E7785">
        <w:rPr>
          <w:lang w:val="en-US"/>
        </w:rPr>
        <w:t xml:space="preserve">The final correctness lemma gives a guarantee that the assembly code generated by our compilation passes coupled with the CompCert ones correctly implements the dataflow semantics of the input program. This end-to-end proof has now been stated and proved. Arriving at this point involved solving several technicalities around coinductive proofs and a change from the “big step” semantics used in the proof of correctness for the code generation pass (from Obc to Clight) to the “small step” semantics necessary to state the final lemma.  </w:t>
      </w:r>
    </w:p>
    <w:p w14:paraId="15863238" w14:textId="5755CE3B" w:rsidR="00F10CBE" w:rsidRPr="001E7785" w:rsidRDefault="00092BF1" w:rsidP="003059BB">
      <w:pPr>
        <w:pStyle w:val="ITEABodyText"/>
      </w:pPr>
      <w:r>
        <w:t>The new results described above and those of our earlier report on the</w:t>
      </w:r>
      <w:r w:rsidR="00F10CBE">
        <w:t xml:space="preserve"> </w:t>
      </w:r>
      <w:r>
        <w:t>transla</w:t>
      </w:r>
      <w:r w:rsidR="00F10CBE">
        <w:t xml:space="preserve">tion and generation passes have </w:t>
      </w:r>
      <w:r>
        <w:t>been accepted for publication at the</w:t>
      </w:r>
      <w:r w:rsidR="00F10CBE">
        <w:t xml:space="preserve"> </w:t>
      </w:r>
      <w:r>
        <w:t>PLDI 2017 conference.</w:t>
      </w:r>
      <w:r w:rsidR="003059BB" w:rsidRPr="001E7785">
        <w:rPr>
          <w:lang w:val="en-US"/>
        </w:rPr>
        <w:t xml:space="preserve">  </w:t>
      </w:r>
    </w:p>
    <w:p w14:paraId="315316FF" w14:textId="5F5CDD59" w:rsidR="003059BB" w:rsidRPr="001E7785" w:rsidRDefault="003059BB" w:rsidP="003059BB">
      <w:pPr>
        <w:pStyle w:val="ITEABodyText"/>
        <w:rPr>
          <w:lang w:val="en-US"/>
        </w:rPr>
      </w:pPr>
      <w:r w:rsidRPr="001E7785">
        <w:rPr>
          <w:lang w:val="en-US"/>
        </w:rPr>
        <w:t xml:space="preserve">The current version of the compiler functions with an end-to-end correctness guarantee, but it only accepts a subset of “normalized” Lustre programs. </w:t>
      </w:r>
      <w:r w:rsidR="00823E70">
        <w:rPr>
          <w:lang w:val="en-US"/>
        </w:rPr>
        <w:t xml:space="preserve">During the project extension we will be </w:t>
      </w:r>
      <w:r w:rsidRPr="001E7785">
        <w:rPr>
          <w:lang w:val="en-US"/>
        </w:rPr>
        <w:t>working on implementing the normalization pass (from Lustre to N-Lustre) and proving its correctness. This task is non-trivial. It requires implementing rewriting by successive substitutions, introducing a new semantic model for the Lustre language, and showing the correctness of the rewriting with respect to the semantics.</w:t>
      </w:r>
    </w:p>
    <w:p w14:paraId="5156E30A" w14:textId="77777777" w:rsidR="003059BB" w:rsidRPr="00670383" w:rsidRDefault="003059BB" w:rsidP="00670383">
      <w:pPr>
        <w:pStyle w:val="ITEABodyText"/>
        <w:rPr>
          <w:highlight w:val="yellow"/>
        </w:rPr>
      </w:pPr>
    </w:p>
    <w:p w14:paraId="3D7F4F85" w14:textId="77777777" w:rsidR="00670383" w:rsidRPr="00670383" w:rsidRDefault="00670383" w:rsidP="0000698F">
      <w:pPr>
        <w:pStyle w:val="ITEAHeading3"/>
      </w:pPr>
      <w:bookmarkStart w:id="21" w:name="_Ref471989483"/>
      <w:bookmarkStart w:id="22" w:name="_Toc398225045"/>
      <w:r w:rsidRPr="00670383">
        <w:t>Scade KCG6 parallel</w:t>
      </w:r>
      <w:bookmarkEnd w:id="21"/>
      <w:bookmarkEnd w:id="22"/>
    </w:p>
    <w:p w14:paraId="581A692C" w14:textId="08A49293" w:rsidR="00670383" w:rsidRPr="004E4D62" w:rsidRDefault="004E4D62" w:rsidP="00670383">
      <w:pPr>
        <w:pStyle w:val="ITEABodyText"/>
        <w:rPr>
          <w:color w:val="002060"/>
          <w:highlight w:val="yellow"/>
        </w:rPr>
      </w:pPr>
      <w:r w:rsidRPr="004E4D62">
        <w:rPr>
          <w:rFonts w:eastAsiaTheme="minorEastAsia"/>
          <w:color w:val="002060"/>
        </w:rPr>
        <w:t xml:space="preserve">An extension of our safety-critical qualified code </w:t>
      </w:r>
      <w:r w:rsidRPr="004E4D62">
        <w:rPr>
          <w:color w:val="002060"/>
        </w:rPr>
        <w:t xml:space="preserve">SCADE Suite KCG </w:t>
      </w:r>
      <w:r w:rsidRPr="004E4D62">
        <w:rPr>
          <w:rFonts w:eastAsiaTheme="minorEastAsia"/>
          <w:color w:val="002060"/>
        </w:rPr>
        <w:t>generator has been prototyped</w:t>
      </w:r>
      <w:r>
        <w:rPr>
          <w:rFonts w:eastAsiaTheme="minorEastAsia"/>
          <w:color w:val="002060"/>
        </w:rPr>
        <w:t>. This prototype allows e</w:t>
      </w:r>
      <w:r w:rsidRPr="004E4D62">
        <w:rPr>
          <w:rFonts w:eastAsiaTheme="minorEastAsia"/>
          <w:color w:val="002060"/>
        </w:rPr>
        <w:t>fficient code generation for multi/many core targets</w:t>
      </w:r>
      <w:r>
        <w:rPr>
          <w:rFonts w:eastAsiaTheme="minorEastAsia"/>
          <w:color w:val="002060"/>
        </w:rPr>
        <w:t>. The parallelization is currently user-driven. The user identifies parallel region</w:t>
      </w:r>
      <w:r w:rsidR="003F3162">
        <w:rPr>
          <w:rFonts w:eastAsiaTheme="minorEastAsia"/>
          <w:color w:val="002060"/>
        </w:rPr>
        <w:t xml:space="preserve">s formed of </w:t>
      </w:r>
      <w:r>
        <w:rPr>
          <w:rFonts w:eastAsiaTheme="minorEastAsia"/>
          <w:color w:val="002060"/>
        </w:rPr>
        <w:t>operator instances that can be executed in parallel, splitting</w:t>
      </w:r>
      <w:r w:rsidRPr="004E4D62">
        <w:rPr>
          <w:rFonts w:eastAsiaTheme="minorEastAsia"/>
          <w:color w:val="002060"/>
        </w:rPr>
        <w:t xml:space="preserve"> the model into independent components </w:t>
      </w:r>
      <w:r w:rsidR="00823E70" w:rsidRPr="004E4D62">
        <w:rPr>
          <w:rFonts w:eastAsiaTheme="minorEastAsia"/>
          <w:color w:val="002060"/>
        </w:rPr>
        <w:t>well balanced</w:t>
      </w:r>
      <w:r w:rsidRPr="004E4D62">
        <w:rPr>
          <w:rFonts w:eastAsiaTheme="minorEastAsia"/>
          <w:color w:val="002060"/>
        </w:rPr>
        <w:t xml:space="preserve"> with respect to their WCET.</w:t>
      </w:r>
    </w:p>
    <w:p w14:paraId="08419E3F" w14:textId="1F345F62" w:rsidR="007E57E3" w:rsidRDefault="004E4D62" w:rsidP="00670383">
      <w:pPr>
        <w:pStyle w:val="ITEABodyText"/>
        <w:rPr>
          <w:color w:val="002060"/>
        </w:rPr>
      </w:pPr>
      <w:r w:rsidRPr="004E4D62">
        <w:rPr>
          <w:color w:val="002060"/>
        </w:rPr>
        <w:lastRenderedPageBreak/>
        <w:t xml:space="preserve">This prototype generates tasks that communicate with one-to-one channels (i.e. Kahn process networks). One task is generated for the root operator and one task for each instance of operator in a parallel subset. The generated C code is target agnostic, macros are used for all operations (communication, synchronisation, …). A dedicated </w:t>
      </w:r>
      <w:r w:rsidR="009F4110">
        <w:rPr>
          <w:color w:val="002060"/>
        </w:rPr>
        <w:t xml:space="preserve">integration step </w:t>
      </w:r>
      <w:r w:rsidRPr="004E4D62">
        <w:rPr>
          <w:color w:val="002060"/>
        </w:rPr>
        <w:t>is in charge of generating the main function and the macros definition</w:t>
      </w:r>
      <w:r w:rsidR="008A753E">
        <w:rPr>
          <w:color w:val="002060"/>
        </w:rPr>
        <w:t xml:space="preserve"> for a given target</w:t>
      </w:r>
      <w:r w:rsidRPr="004E4D62">
        <w:rPr>
          <w:color w:val="002060"/>
        </w:rPr>
        <w:t>. To verify the portability, we have developed instantiation for Pthread and Win32 API with semaphores.  We also work</w:t>
      </w:r>
      <w:r w:rsidR="009F4110">
        <w:rPr>
          <w:color w:val="002060"/>
        </w:rPr>
        <w:t>ed</w:t>
      </w:r>
      <w:r w:rsidRPr="004E4D62">
        <w:rPr>
          <w:color w:val="002060"/>
        </w:rPr>
        <w:t xml:space="preserve"> with Kalray to have an instantiation for their MPPA </w:t>
      </w:r>
      <w:r w:rsidR="008A753E">
        <w:rPr>
          <w:color w:val="002060"/>
        </w:rPr>
        <w:t>many</w:t>
      </w:r>
      <w:r w:rsidRPr="004E4D62">
        <w:rPr>
          <w:color w:val="002060"/>
        </w:rPr>
        <w:t>-core architecture.</w:t>
      </w:r>
    </w:p>
    <w:p w14:paraId="58608185" w14:textId="77777777" w:rsidR="004E4D62" w:rsidRDefault="004E4D62" w:rsidP="00670383">
      <w:pPr>
        <w:pStyle w:val="ITEABodyText"/>
        <w:rPr>
          <w:color w:val="002060"/>
        </w:rPr>
      </w:pPr>
    </w:p>
    <w:p w14:paraId="0955B2B9" w14:textId="77777777" w:rsidR="004E4D62" w:rsidRDefault="008A753E" w:rsidP="004E4D62">
      <w:pPr>
        <w:pStyle w:val="ITEABodyText"/>
        <w:keepNext/>
        <w:jc w:val="center"/>
      </w:pPr>
      <w:r>
        <w:rPr>
          <w:noProof/>
          <w:lang w:val="en-US" w:eastAsia="en-US"/>
        </w:rPr>
        <w:drawing>
          <wp:inline distT="0" distB="0" distL="0" distR="0" wp14:anchorId="44FDA5B8" wp14:editId="51CB5F55">
            <wp:extent cx="6374474" cy="40451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1791" cy="4049817"/>
                    </a:xfrm>
                    <a:prstGeom prst="rect">
                      <a:avLst/>
                    </a:prstGeom>
                    <a:noFill/>
                  </pic:spPr>
                </pic:pic>
              </a:graphicData>
            </a:graphic>
          </wp:inline>
        </w:drawing>
      </w:r>
    </w:p>
    <w:p w14:paraId="37B609CC" w14:textId="45A5FDEC" w:rsidR="004E4D62" w:rsidRDefault="004E4D62" w:rsidP="004E4D62">
      <w:pPr>
        <w:pStyle w:val="Caption"/>
        <w:rPr>
          <w:color w:val="002060"/>
        </w:rPr>
      </w:pPr>
      <w:bookmarkStart w:id="23" w:name="_Ref470092077"/>
      <w:r>
        <w:t xml:space="preserve">Figure </w:t>
      </w:r>
      <w:bookmarkEnd w:id="23"/>
      <w:r w:rsidR="007B3027">
        <w:t>3</w:t>
      </w:r>
      <w:r>
        <w:t xml:space="preserve">: </w:t>
      </w:r>
      <w:r w:rsidRPr="004E4D62">
        <w:t>Scade Multi-Core Code Generation Flow</w:t>
      </w:r>
    </w:p>
    <w:p w14:paraId="5DA29F7D" w14:textId="77777777" w:rsidR="004E4D62" w:rsidRPr="004E4D62" w:rsidRDefault="004E4D62" w:rsidP="00670383">
      <w:pPr>
        <w:pStyle w:val="ITEABodyText"/>
        <w:rPr>
          <w:color w:val="002060"/>
          <w:highlight w:val="yellow"/>
        </w:rPr>
      </w:pPr>
    </w:p>
    <w:p w14:paraId="262394E5" w14:textId="529FE397" w:rsidR="00660070" w:rsidRDefault="00670383" w:rsidP="00670383">
      <w:pPr>
        <w:pStyle w:val="ITEAHeading3"/>
      </w:pPr>
      <w:bookmarkStart w:id="24" w:name="_Toc398225046"/>
      <w:r w:rsidRPr="00670383">
        <w:t>Heptagon/Lopht</w:t>
      </w:r>
      <w:r w:rsidR="005B0B5F">
        <w:t>/aiT</w:t>
      </w:r>
      <w:r w:rsidR="003C4007">
        <w:t xml:space="preserve"> for Kalray</w:t>
      </w:r>
      <w:r w:rsidR="003E35AC">
        <w:t xml:space="preserve"> MPPA256</w:t>
      </w:r>
      <w:bookmarkEnd w:id="24"/>
    </w:p>
    <w:p w14:paraId="06C7EC42" w14:textId="703985BA" w:rsidR="003822A4" w:rsidRDefault="00463A69" w:rsidP="00670383">
      <w:pPr>
        <w:pStyle w:val="ITEABodyText"/>
      </w:pPr>
      <w:r>
        <w:t xml:space="preserve">Heptagon is both a Lustre dialect and an open-source compiler for this language. </w:t>
      </w:r>
      <w:r w:rsidR="00CF42B7">
        <w:t xml:space="preserve">For the scope of this section, we shall disambiguate between the two by using the name heptc for the compiler. </w:t>
      </w:r>
      <w:r w:rsidR="003822A4">
        <w:t xml:space="preserve">The </w:t>
      </w:r>
      <w:r w:rsidR="00CF42B7">
        <w:t>heptc</w:t>
      </w:r>
      <w:r w:rsidR="003822A4">
        <w:t xml:space="preserve"> compiler can be used for two types of tasks:</w:t>
      </w:r>
    </w:p>
    <w:p w14:paraId="3C9DE811" w14:textId="70404F5C" w:rsidR="003822A4" w:rsidRDefault="003822A4" w:rsidP="003822A4">
      <w:pPr>
        <w:pStyle w:val="ITEABodyText"/>
        <w:numPr>
          <w:ilvl w:val="0"/>
          <w:numId w:val="19"/>
        </w:numPr>
      </w:pPr>
      <w:r>
        <w:t>Generating sequential C code from synchronous programs (nodes) written in a Lustre dialect</w:t>
      </w:r>
      <w:r w:rsidR="00F05026">
        <w:t xml:space="preserve"> (much like SCADE KCG or Velus)</w:t>
      </w:r>
      <w:r>
        <w:t xml:space="preserve">. Accepted </w:t>
      </w:r>
      <w:r w:rsidR="00764306">
        <w:t xml:space="preserve">Lustre </w:t>
      </w:r>
      <w:r>
        <w:t xml:space="preserve">dialects include Heptagon and Scade v4. The Scade front-end has been added during ASSUME to allow the handling of case studies. </w:t>
      </w:r>
    </w:p>
    <w:p w14:paraId="630DEBE8" w14:textId="36455BE2" w:rsidR="00B711A4" w:rsidRDefault="00DB4508" w:rsidP="00B711A4">
      <w:pPr>
        <w:pStyle w:val="ITEABodyText"/>
        <w:numPr>
          <w:ilvl w:val="0"/>
          <w:numId w:val="19"/>
        </w:numPr>
      </w:pPr>
      <w:r>
        <w:t>Translating</w:t>
      </w:r>
      <w:r w:rsidR="003822A4">
        <w:t xml:space="preserve"> Heptagon programs into the non-hierarchic data-flow language taken as input by </w:t>
      </w:r>
      <w:r w:rsidR="00CF42B7">
        <w:t xml:space="preserve">the Lopht tool. In this case, </w:t>
      </w:r>
      <w:r w:rsidR="003B13B0">
        <w:t xml:space="preserve">an extension of </w:t>
      </w:r>
      <w:r w:rsidR="00CF42B7">
        <w:t>heptc</w:t>
      </w:r>
      <w:r w:rsidR="003B13B0">
        <w:t xml:space="preserve"> </w:t>
      </w:r>
      <w:r w:rsidR="003822A4">
        <w:t xml:space="preserve"> takes as input an extension of the Heptagon language,</w:t>
      </w:r>
      <w:r w:rsidR="003768AF">
        <w:t xml:space="preserve"> called Heptagon+NFP,</w:t>
      </w:r>
      <w:r w:rsidR="003822A4">
        <w:t xml:space="preserve"> where </w:t>
      </w:r>
      <w:r w:rsidR="00CF42B7">
        <w:t xml:space="preserve">program annotations allow the specification of non-functional </w:t>
      </w:r>
      <w:r w:rsidR="00B711A4">
        <w:t>requirements</w:t>
      </w:r>
      <w:r w:rsidR="00CF42B7">
        <w:t>, as described below, in section 2.4.3.</w:t>
      </w:r>
      <w:r w:rsidR="003B13B0">
        <w:t xml:space="preserve"> We name this extension heptc+NFP.</w:t>
      </w:r>
    </w:p>
    <w:p w14:paraId="3061A146" w14:textId="6B713BC1" w:rsidR="00B711A4" w:rsidRDefault="00B711A4" w:rsidP="00B711A4">
      <w:pPr>
        <w:pStyle w:val="ITEABodyText"/>
      </w:pPr>
      <w:r>
        <w:t xml:space="preserve">The Lopht tool takes as input </w:t>
      </w:r>
      <w:r w:rsidR="00AE45D3">
        <w:t>the non-hierarchic data-flow and the non-functional requirements output by heptc</w:t>
      </w:r>
      <w:r w:rsidR="00F92178">
        <w:t>,</w:t>
      </w:r>
      <w:r w:rsidR="00AE45D3">
        <w:t xml:space="preserve"> a description of the execution platform (to</w:t>
      </w:r>
      <w:r w:rsidR="00E85187">
        <w:t>pology, WCETs</w:t>
      </w:r>
      <w:r w:rsidR="00F92178">
        <w:t xml:space="preserve"> of library primitives</w:t>
      </w:r>
      <w:r w:rsidR="005B0B5F">
        <w:t>, etc.</w:t>
      </w:r>
      <w:r w:rsidR="00E85187">
        <w:t>)</w:t>
      </w:r>
      <w:r w:rsidR="00F92178">
        <w:t>, and a non-functional characterization of the Lustre/Scade functions produced by the static analysis tool aiT</w:t>
      </w:r>
      <w:r w:rsidR="00E85187">
        <w:t>.</w:t>
      </w:r>
      <w:r w:rsidR="00AE45D3">
        <w:t xml:space="preserve"> </w:t>
      </w:r>
      <w:r w:rsidR="00E85187">
        <w:t>It</w:t>
      </w:r>
      <w:r w:rsidR="00AE45D3">
        <w:t xml:space="preserve"> </w:t>
      </w:r>
      <w:r w:rsidR="00C73704">
        <w:t xml:space="preserve">either </w:t>
      </w:r>
      <w:r w:rsidR="00AE45D3">
        <w:t>produces parallel implementation C code that is both functionally correct and respects the non-functional requirements</w:t>
      </w:r>
      <w:r w:rsidR="00C73704">
        <w:t>, or reports why</w:t>
      </w:r>
      <w:r w:rsidR="00E85187">
        <w:t xml:space="preserve"> it was not able to</w:t>
      </w:r>
      <w:r w:rsidR="00C73704">
        <w:t xml:space="preserve"> produce such an implementation</w:t>
      </w:r>
      <w:r w:rsidR="00E85187">
        <w:t>.</w:t>
      </w:r>
    </w:p>
    <w:p w14:paraId="7689ECE3" w14:textId="0E62A747" w:rsidR="005B0B5F" w:rsidRDefault="005B0B5F" w:rsidP="00B711A4">
      <w:pPr>
        <w:pStyle w:val="ITEABodyText"/>
      </w:pPr>
      <w:r>
        <w:t xml:space="preserve">The non-functional characterization of the Lustre/Scade functions is </w:t>
      </w:r>
      <w:r w:rsidR="00F92178">
        <w:t xml:space="preserve">produced by the aiT static analysis tool of AbsInt. I addition to the WCET estimation, this characterization also includes worst-case number of accesses to </w:t>
      </w:r>
      <w:r w:rsidR="00F92178">
        <w:lastRenderedPageBreak/>
        <w:t>the various code and data sections, enabling the computation by Lopht of safe upper bounds on the time interferences due to memory access.</w:t>
      </w:r>
    </w:p>
    <w:p w14:paraId="355F27CA" w14:textId="720E3DF1" w:rsidR="00340BBB" w:rsidRDefault="00764306" w:rsidP="00764306">
      <w:pPr>
        <w:pStyle w:val="ITEABodyText"/>
        <w:rPr>
          <w:iCs/>
          <w:szCs w:val="20"/>
        </w:rPr>
      </w:pPr>
      <w:r>
        <w:t xml:space="preserve">Given the capabilities of the tools, </w:t>
      </w:r>
      <w:r w:rsidR="00C73704">
        <w:t xml:space="preserve">we use </w:t>
      </w:r>
      <w:r w:rsidR="00112FB0">
        <w:t xml:space="preserve">them </w:t>
      </w:r>
      <w:r w:rsidR="003768AF">
        <w:t xml:space="preserve">following the methodology and tool flow </w:t>
      </w:r>
      <w:r w:rsidR="00C73704">
        <w:t>of</w:t>
      </w:r>
      <w:r w:rsidR="00B92C67">
        <w:t xml:space="preserve"> Fig. 4</w:t>
      </w:r>
      <w:r w:rsidR="003768AF">
        <w:t xml:space="preserve">. The flow starts with an importer tool that translates the industrial specification </w:t>
      </w:r>
      <w:r w:rsidR="00C73704">
        <w:t xml:space="preserve">into Heptagon input. This tool is needed, as </w:t>
      </w:r>
      <w:r w:rsidR="003768AF">
        <w:t xml:space="preserve">industrial use case specifications </w:t>
      </w:r>
      <w:r w:rsidR="00C73704">
        <w:t xml:space="preserve">from both Airbus and Safran </w:t>
      </w:r>
      <w:r w:rsidR="003768AF">
        <w:t xml:space="preserve">do not fit directly into the synchronous model (both in term of format and of </w:t>
      </w:r>
      <w:r w:rsidR="00C73704">
        <w:t>underlying computational model. W</w:t>
      </w:r>
      <w:r w:rsidR="00081F13">
        <w:t>e have developed a tool that</w:t>
      </w:r>
      <w:r w:rsidR="003768AF">
        <w:t xml:space="preserve"> generate</w:t>
      </w:r>
      <w:r w:rsidR="00C73704">
        <w:t>s</w:t>
      </w:r>
      <w:r w:rsidR="00081F13">
        <w:t xml:space="preserve"> a</w:t>
      </w:r>
      <w:r w:rsidR="003768AF">
        <w:t xml:space="preserve"> functionally equivalent Lustre code from these specifications. This convertor tool is currently based on the specifications provided for the </w:t>
      </w:r>
      <w:r w:rsidR="003768AF">
        <w:rPr>
          <w:i/>
          <w:iCs/>
          <w:szCs w:val="20"/>
        </w:rPr>
        <w:t xml:space="preserve">AIR_UC01 </w:t>
      </w:r>
      <w:r w:rsidR="003768AF">
        <w:t xml:space="preserve">use case, where specification is done in a formalism specific to the Airbus process. This work will be extended to fit the needs of the Safran </w:t>
      </w:r>
      <w:r w:rsidR="003768AF" w:rsidRPr="000618D1">
        <w:rPr>
          <w:i/>
          <w:iCs/>
          <w:szCs w:val="20"/>
        </w:rPr>
        <w:t>SAF_UC01</w:t>
      </w:r>
      <w:r w:rsidR="003768AF">
        <w:rPr>
          <w:iCs/>
          <w:szCs w:val="20"/>
        </w:rPr>
        <w:t xml:space="preserve"> use case. </w:t>
      </w:r>
    </w:p>
    <w:p w14:paraId="7B1E8BBE" w14:textId="4D198303" w:rsidR="00340BBB" w:rsidRDefault="00B21282" w:rsidP="00340BBB">
      <w:pPr>
        <w:pStyle w:val="ITEABodyText"/>
      </w:pPr>
      <w:r>
        <w:t xml:space="preserve">This tool builds internally a dependence graph between the different tasks of the application. </w:t>
      </w:r>
      <w:r w:rsidR="00340BBB">
        <w:t>Because both of these use cases have computation distributed across multiple periods, the values passed between tasks of different periods might not be deterministic: for example, if a data is written twice while being read once, we have to determine which value is used. The importer tool makes these decisions by referring to a sequential schedule and mirroring the decisions about which value is to be read. We plan to use this graph to analyse the application and to perform some transformation, such as retiming. We chose to write directly by hand the corresponding Lustre code for the SAF_UC2 use case of Safran, with a focus on the in-place FFT component of this use case.</w:t>
      </w:r>
    </w:p>
    <w:p w14:paraId="5AAFF13A" w14:textId="2C97D2D1" w:rsidR="00B21282" w:rsidRDefault="00340BBB" w:rsidP="00764306">
      <w:pPr>
        <w:pStyle w:val="ITEABodyText"/>
      </w:pPr>
      <w:r>
        <w:t>The generated Lustre code is multi-periodic and uses a hierarchy of periodic clocks, each period being associated with a set of clocks with different offsets. We normalize this code by contracting all periods into the slowest one. This transformation has two steps. First we expose the internal states of the nodes as new inputs and outputs. This step is similar to the Heptagon code generation strategy and generates a reset and a step function per stateful function. Then, we duplicate the nodes on the faster periods in order to transfer them into the slowest period  Finally, the resulting deterministic normalized Lustre program is given to the Lopht tool.</w:t>
      </w:r>
      <w:r w:rsidR="003768AF">
        <w:t xml:space="preserve">. </w:t>
      </w:r>
    </w:p>
    <w:p w14:paraId="1B48C04F" w14:textId="77DD9A83" w:rsidR="00764306" w:rsidRDefault="00764306" w:rsidP="00764306">
      <w:pPr>
        <w:pStyle w:val="ITEABodyText"/>
        <w:keepNext/>
      </w:pPr>
      <w:r>
        <w:rPr>
          <w:noProof/>
          <w:lang w:val="en-US" w:eastAsia="en-US"/>
        </w:rPr>
        <w:drawing>
          <wp:inline distT="0" distB="0" distL="0" distR="0" wp14:anchorId="0BC504AF" wp14:editId="4EB7CDBD">
            <wp:extent cx="6593728" cy="3446928"/>
            <wp:effectExtent l="0" t="0" r="1079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2.pdf"/>
                    <pic:cNvPicPr/>
                  </pic:nvPicPr>
                  <pic:blipFill>
                    <a:blip r:embed="rId17">
                      <a:extLst>
                        <a:ext uri="{28A0092B-C50C-407E-A947-70E740481C1C}">
                          <a14:useLocalDpi xmlns:a14="http://schemas.microsoft.com/office/drawing/2010/main" val="0"/>
                        </a:ext>
                      </a:extLst>
                    </a:blip>
                    <a:stretch>
                      <a:fillRect/>
                    </a:stretch>
                  </pic:blipFill>
                  <pic:spPr>
                    <a:xfrm>
                      <a:off x="0" y="0"/>
                      <a:ext cx="6593728" cy="3446928"/>
                    </a:xfrm>
                    <a:prstGeom prst="rect">
                      <a:avLst/>
                    </a:prstGeom>
                  </pic:spPr>
                </pic:pic>
              </a:graphicData>
            </a:graphic>
          </wp:inline>
        </w:drawing>
      </w:r>
    </w:p>
    <w:p w14:paraId="1033CD87" w14:textId="5C505837" w:rsidR="004F5845" w:rsidRDefault="00764306" w:rsidP="00764306">
      <w:pPr>
        <w:pStyle w:val="Caption"/>
      </w:pPr>
      <w:r>
        <w:t xml:space="preserve">Figure </w:t>
      </w:r>
      <w:r w:rsidR="00B92C67">
        <w:t>4</w:t>
      </w:r>
      <w:r>
        <w:t>. Heptagon/Lopht tool flow</w:t>
      </w:r>
    </w:p>
    <w:p w14:paraId="764F2942" w14:textId="7F467110" w:rsidR="00660070" w:rsidRDefault="00C73704" w:rsidP="005754A4">
      <w:pPr>
        <w:pStyle w:val="ITEABodyText"/>
      </w:pPr>
      <w:r>
        <w:t xml:space="preserve">The Heptagon code is divided in two parts: the specification of the sequential </w:t>
      </w:r>
      <w:r w:rsidR="00892C67">
        <w:t xml:space="preserve">tasks and the integration specification. </w:t>
      </w:r>
      <w:r w:rsidR="00EA2994">
        <w:t xml:space="preserve">A task specification consists of a synchronous component that must be separately compiled into </w:t>
      </w:r>
      <w:r w:rsidR="00081F13">
        <w:t xml:space="preserve">one piece of </w:t>
      </w:r>
      <w:r w:rsidR="00EA2994">
        <w:t xml:space="preserve">sequential code. It </w:t>
      </w:r>
      <w:r w:rsidR="00892C67">
        <w:t xml:space="preserve">contains no non-functional annotations. </w:t>
      </w:r>
      <w:r w:rsidR="00EA2994">
        <w:t>Compilation</w:t>
      </w:r>
      <w:r w:rsidR="00892C67">
        <w:t xml:space="preserve"> can either be done using he</w:t>
      </w:r>
      <w:r w:rsidR="00081F13">
        <w:t>ptc or (modulo Lustre dialect adaptations</w:t>
      </w:r>
      <w:r w:rsidR="00892C67">
        <w:t xml:space="preserve">) with SCADE KCG or Velus. The integration specification </w:t>
      </w:r>
      <w:r w:rsidR="005754A4">
        <w:t>is the system-level specification that defines</w:t>
      </w:r>
      <w:r w:rsidR="00892C67">
        <w:t xml:space="preserve"> the dependencies betw</w:t>
      </w:r>
      <w:r w:rsidR="00924DF2">
        <w:t xml:space="preserve">een tasks and contains all </w:t>
      </w:r>
      <w:r w:rsidR="00892C67">
        <w:t>non</w:t>
      </w:r>
      <w:r w:rsidR="00924DF2">
        <w:t>-functional requirements (hence the mixed blue+purple color).</w:t>
      </w:r>
      <w:r w:rsidR="00EA2994">
        <w:t xml:space="preserve"> All data-flow parallelism in the integration specification can be exploited </w:t>
      </w:r>
      <w:r w:rsidR="005754A4">
        <w:t xml:space="preserve">by Lopht </w:t>
      </w:r>
      <w:r w:rsidR="00EA2994">
        <w:t xml:space="preserve">during </w:t>
      </w:r>
      <w:r w:rsidR="005754A4">
        <w:t>allo</w:t>
      </w:r>
      <w:r w:rsidR="00081F13">
        <w:t>cation and real-time scheduling.</w:t>
      </w:r>
      <w:r w:rsidR="0020129B">
        <w:t xml:space="preserve"> Heptagon has been extended with language constructs allowing the specification of multi-periodic systems, whose behaviours are a sub-set of the n-synchronous behaviours of (Cohen </w:t>
      </w:r>
      <w:r w:rsidR="0020129B" w:rsidRPr="00211D8B">
        <w:rPr>
          <w:i/>
        </w:rPr>
        <w:t>et al.</w:t>
      </w:r>
      <w:r w:rsidR="0020129B">
        <w:t xml:space="preserve">, 2006). The heptc compiler has been extended to allow the compilation </w:t>
      </w:r>
      <w:r w:rsidR="0020129B">
        <w:lastRenderedPageBreak/>
        <w:t>of extended programs to either sequential C code, or to Lopht input. The non-functional annotation language of Heptagon has been improved.</w:t>
      </w:r>
    </w:p>
    <w:p w14:paraId="488FE68A" w14:textId="577F655B" w:rsidR="00112FB0" w:rsidRDefault="00112FB0" w:rsidP="005754A4">
      <w:pPr>
        <w:pStyle w:val="ITEABodyText"/>
      </w:pPr>
      <w:r>
        <w:t>A new back-end for the Lopht tool has been written to generate code using the Kalray MPPA 256 API defined in section 2.4.1.</w:t>
      </w:r>
      <w:r w:rsidR="001D0DD2">
        <w:t xml:space="preserve"> </w:t>
      </w:r>
    </w:p>
    <w:p w14:paraId="4E4ADF92" w14:textId="77777777" w:rsidR="00764306" w:rsidRPr="004F5845" w:rsidRDefault="00764306" w:rsidP="00670383">
      <w:pPr>
        <w:pStyle w:val="ITEABodyText"/>
      </w:pPr>
    </w:p>
    <w:p w14:paraId="006C891B" w14:textId="77777777" w:rsidR="00670383" w:rsidRPr="00670383" w:rsidRDefault="00670383" w:rsidP="0000698F">
      <w:pPr>
        <w:pStyle w:val="ITEAHeading3"/>
      </w:pPr>
      <w:bookmarkStart w:id="25" w:name="_Ref471989525"/>
      <w:bookmarkStart w:id="26" w:name="_Toc398225047"/>
      <w:r w:rsidRPr="00670383">
        <w:t>CompCert</w:t>
      </w:r>
      <w:bookmarkEnd w:id="25"/>
      <w:bookmarkEnd w:id="26"/>
    </w:p>
    <w:p w14:paraId="5ED4851B" w14:textId="77777777" w:rsidR="00D955DB" w:rsidRDefault="00D955DB" w:rsidP="00D955DB">
      <w:pPr>
        <w:pStyle w:val="ITEABodyText"/>
      </w:pPr>
      <w:r>
        <w:t>Since 2015, the CompCert compiler is commercially available. What sets CompCert apart from any other production compiler is that it is formally verified, using machine-assisted mathematical proofs, to be exempt from miscompilation issues. In other words, the executable code it produces is proved to behave exactly as specified by the semantics of the source C program. This level of confidence in the correctness of the compilation process is unprecedented and contributes to meeting the highest levels of software assurance. In particular, using the CompCert C compiler is a natural complement to applying formal verification techniques (static analysis, program proof, model checking) at the source code level: the correctness proof of CompCert C guarantees that all safety properties verified on the source code automatically hold as well for the generated executable.</w:t>
      </w:r>
    </w:p>
    <w:p w14:paraId="1A0354C6" w14:textId="77777777" w:rsidR="00D955DB" w:rsidRDefault="00D955DB" w:rsidP="00D955DB">
      <w:pPr>
        <w:pStyle w:val="ITEABodyText"/>
      </w:pPr>
      <w:r>
        <w:t>CompCert has been developed by INRIA and licensed by AbsInt for commercial exploitation. In ASSUME, AbsInt is working at improving the usability of the compiler to make it competitive in this respect with existing compilers. Since Deliverable D4.0, the following improvements have been implemented:</w:t>
      </w:r>
    </w:p>
    <w:p w14:paraId="0CD7E774" w14:textId="77777777" w:rsidR="00D955DB" w:rsidRDefault="00D955DB" w:rsidP="007A07E8">
      <w:pPr>
        <w:pStyle w:val="ITEABodyText"/>
        <w:numPr>
          <w:ilvl w:val="0"/>
          <w:numId w:val="21"/>
        </w:numPr>
      </w:pPr>
      <w:r>
        <w:t>The robustness of the frontend has been improved. Now more cases of invalid inputs are treated with proper error messages.</w:t>
      </w:r>
    </w:p>
    <w:p w14:paraId="51D71778" w14:textId="77777777" w:rsidR="00D955DB" w:rsidRDefault="00D955DB" w:rsidP="007A07E8">
      <w:pPr>
        <w:pStyle w:val="ITEABodyText"/>
        <w:numPr>
          <w:ilvl w:val="0"/>
          <w:numId w:val="21"/>
        </w:numPr>
      </w:pPr>
      <w:r>
        <w:t>New command line options have been introduced that allow for better control of the diagnostic output produced by CompCert. It is now possible to activate or suppress certain warnings and additionally to mark them as error.</w:t>
      </w:r>
    </w:p>
    <w:p w14:paraId="43AC37A0" w14:textId="76ECDDC5" w:rsidR="00D955DB" w:rsidRDefault="00D955DB" w:rsidP="007A07E8">
      <w:pPr>
        <w:pStyle w:val="ITEABodyText"/>
        <w:numPr>
          <w:ilvl w:val="0"/>
          <w:numId w:val="21"/>
        </w:numPr>
      </w:pPr>
      <w:r>
        <w:t>CompCert now fully supports C11 anonymous compound types. Such types are considered as transparent for their components so that their named parts may be accessed directly.</w:t>
      </w:r>
    </w:p>
    <w:p w14:paraId="00BB9EE8" w14:textId="0DE4AEA4" w:rsidR="001100D0" w:rsidRDefault="001100D0" w:rsidP="007A07E8">
      <w:pPr>
        <w:pStyle w:val="ITEABodyText"/>
        <w:numPr>
          <w:ilvl w:val="0"/>
          <w:numId w:val="21"/>
        </w:numPr>
      </w:pPr>
      <w:r w:rsidRPr="001100D0">
        <w:t>CompCert supports a mechanism to transfer annotations written on the source-code level to the machine-code level where they can be read by AbsInt's aiT timing analyzer. CompCert places these annotations in a special section of the ELF binary, from which they can be extracted by aiT. The source-code annotations may refer to source-level variables, which are automatically replaced by the corresponding registers or memory cells.</w:t>
      </w:r>
    </w:p>
    <w:p w14:paraId="5A5D32D9" w14:textId="77777777" w:rsidR="00A74FBA" w:rsidRDefault="00A74FBA" w:rsidP="00A74FBA">
      <w:pPr>
        <w:pStyle w:val="ITEABodyText"/>
        <w:numPr>
          <w:ilvl w:val="0"/>
          <w:numId w:val="21"/>
        </w:numPr>
      </w:pPr>
      <w:r>
        <w:t>The CompCert compiler was evaluated on Safran's projects TVB2 and HPT16. These projects could be compiled and the resulting executable could be analysed by the TimingProfiler variant of aiT, which could automatically resolve all computed calls. This successful evaluation did not trigger any modifications of the objectives.</w:t>
      </w:r>
    </w:p>
    <w:p w14:paraId="0D72F58A" w14:textId="63929CA9" w:rsidR="001100D0" w:rsidRDefault="001100D0" w:rsidP="001100D0">
      <w:pPr>
        <w:pStyle w:val="ITEABodyText"/>
      </w:pPr>
      <w:r>
        <w:t>In ASSUME, INRIA is extending the CompCert compiler and its verification to new target architectures of interest to the ASSUME industrial partners. This includes 64-bit architectures such as the PowerPC 64 bits, and also the Kalray MPPA architecture, a VLIW manycore processor.  The following improvements were achieved during the ASSUME project and are available in the current release 3.3 of CompCert:</w:t>
      </w:r>
    </w:p>
    <w:p w14:paraId="4114298F" w14:textId="77777777" w:rsidR="001100D0" w:rsidRDefault="001100D0" w:rsidP="00000EDB">
      <w:pPr>
        <w:pStyle w:val="ITEABodyText"/>
        <w:numPr>
          <w:ilvl w:val="0"/>
          <w:numId w:val="38"/>
        </w:numPr>
      </w:pPr>
      <w:r>
        <w:t>Generic support for 64-bit target platforms was added, including pointers that are 64-bit wide, and the ability to use 64-bit integer registers and arithmetic operations. This support does not replace but comes in addition to CompCert's original support for 32-bit target platforms, with 32-bit pointers and emulation of 64-bit integer arithmetic using pairs of 32-bit integers. In terms of C data models, CompCert used to be restricted to the ILP32LL64 model; now it also supports I32LP64 and IL32LLP64.</w:t>
      </w:r>
    </w:p>
    <w:p w14:paraId="737BCFDC" w14:textId="77777777" w:rsidR="001100D0" w:rsidRDefault="001100D0" w:rsidP="00000EDB">
      <w:pPr>
        <w:pStyle w:val="ITEABodyText"/>
        <w:numPr>
          <w:ilvl w:val="0"/>
          <w:numId w:val="38"/>
        </w:numPr>
      </w:pPr>
      <w:r>
        <w:t>The x86 port of CompCert was extended to produce x86-64 bit code in addition to the original x86-32 bit (IA32) code. This is the first instantiation of the new support for 64-bit targets described above. Support for x86-64 is currently available for Linux and macOS.</w:t>
      </w:r>
    </w:p>
    <w:p w14:paraId="22F2874C" w14:textId="77777777" w:rsidR="001100D0" w:rsidRDefault="001100D0" w:rsidP="00000EDB">
      <w:pPr>
        <w:pStyle w:val="ITEABodyText"/>
        <w:numPr>
          <w:ilvl w:val="0"/>
          <w:numId w:val="38"/>
        </w:numPr>
      </w:pPr>
      <w:r>
        <w:t>As another instantiation, CompCert was ported to generate code for the RISC-V architecture, both in 32 bits and in 64 bits mode.</w:t>
      </w:r>
    </w:p>
    <w:p w14:paraId="01F575D7" w14:textId="4D3D4407" w:rsidR="001100D0" w:rsidRDefault="001100D0" w:rsidP="00000EDB">
      <w:pPr>
        <w:pStyle w:val="ITEABodyText"/>
        <w:numPr>
          <w:ilvl w:val="0"/>
          <w:numId w:val="38"/>
        </w:numPr>
      </w:pPr>
      <w:r>
        <w:lastRenderedPageBreak/>
        <w:t>The specifications and proofs of the last passes of the compiler back-end (those that are closest to the target processor but still target-independent) were made more general and more flexible with respect to the target processor's register model and stack frame layout. This extra flexibility helps with the 64-bit support described above.</w:t>
      </w:r>
    </w:p>
    <w:p w14:paraId="3242385D" w14:textId="77777777" w:rsidR="001100D0" w:rsidRDefault="001100D0" w:rsidP="001100D0">
      <w:pPr>
        <w:pStyle w:val="ITEABodyText"/>
      </w:pPr>
      <w:r>
        <w:t>Another CompCert improvement that was developed as part of ASSUME to address concerns raised by Airbus is an overhaul of the proof of semantic preservation to account for separate compilation and linking. At the beginning of the project, CompCert's semantic preservation proof applied only to programs composed of a single source file, compiled in one go. Separate compilation and linking was supported but not formally proved sound. Since release 2.7, the proof now considers a set of C compilation units (source files), separately compiled to assembly then linked. It then shows that the resulting assembly program preserves the semantics of the C program that would be obtained by syntactic linking of the source C compilation units.</w:t>
      </w:r>
    </w:p>
    <w:p w14:paraId="52614DB6" w14:textId="77777777" w:rsidR="001100D0" w:rsidRDefault="001100D0" w:rsidP="001100D0">
      <w:pPr>
        <w:pStyle w:val="ITEABodyText"/>
      </w:pPr>
      <w:r>
        <w:t>Finally, INRIA also investigated the generation of Kalray MPPA2 code from CompCert and identified difficult technical issues with this architecture.  The plans for MPPA2 support have been dropped because it will soon be replaced by MPPA3, a 64-bit evolution of Kalray's architecture that will be much easier to support in CompCert.</w:t>
      </w:r>
    </w:p>
    <w:p w14:paraId="28CD0C19" w14:textId="760FBF95" w:rsidR="00B312E3" w:rsidRDefault="00B312E3" w:rsidP="00D955DB">
      <w:pPr>
        <w:pStyle w:val="ITEABodyText"/>
      </w:pPr>
    </w:p>
    <w:p w14:paraId="5C765944" w14:textId="77777777" w:rsidR="00FB2A49" w:rsidRDefault="00FB2A49" w:rsidP="00FB2A49">
      <w:pPr>
        <w:pStyle w:val="ITEABodyText"/>
      </w:pPr>
    </w:p>
    <w:p w14:paraId="434B67A2" w14:textId="77777777" w:rsidR="00FB2A49" w:rsidRDefault="00FB2A49" w:rsidP="00FB2A49">
      <w:pPr>
        <w:pStyle w:val="ITEAHeading4"/>
      </w:pPr>
      <w:bookmarkStart w:id="27" w:name="_Toc398225048"/>
      <w:r w:rsidRPr="00000C11">
        <w:t>ESTEREL TECHNOLOGIES SCADE KCG</w:t>
      </w:r>
      <w:r>
        <w:t xml:space="preserve"> and CompCert Coupling</w:t>
      </w:r>
      <w:bookmarkEnd w:id="27"/>
    </w:p>
    <w:p w14:paraId="310D8737" w14:textId="7345D5AD" w:rsidR="00FB2A49" w:rsidRDefault="007F25D5" w:rsidP="00000EDB">
      <w:pPr>
        <w:pStyle w:val="ITEABodyText"/>
      </w:pPr>
      <w:r>
        <w:t>Esterel Technologies has prototyped a SCADE KCG and CompCert coupling (see Fig. 2). The objective is to have a direct connection from Scade KCG compiler to CompCert frontend. This provides a seamless path from a qualified/certified Scade compiler to a proven C compiler.</w:t>
      </w:r>
    </w:p>
    <w:p w14:paraId="6F091807" w14:textId="77777777" w:rsidR="00FB2A49" w:rsidRDefault="00FB2A49" w:rsidP="00FB2A49">
      <w:pPr>
        <w:pStyle w:val="ITEABodyText"/>
      </w:pPr>
    </w:p>
    <w:p w14:paraId="4AEBB695" w14:textId="77777777" w:rsidR="00FB2A49" w:rsidRDefault="00FB2A49" w:rsidP="00FB2A49">
      <w:pPr>
        <w:pStyle w:val="ITEABodyText"/>
        <w:keepNext/>
        <w:jc w:val="center"/>
      </w:pPr>
      <w:r w:rsidRPr="00094BB2">
        <w:rPr>
          <w:rFonts w:cs="Arial"/>
          <w:noProof/>
          <w:color w:val="000000"/>
          <w:sz w:val="22"/>
          <w:szCs w:val="22"/>
          <w:lang w:val="en-US" w:eastAsia="en-US"/>
        </w:rPr>
        <w:drawing>
          <wp:inline distT="0" distB="0" distL="0" distR="0" wp14:anchorId="54BD9C3E" wp14:editId="091FE8CB">
            <wp:extent cx="5650230" cy="2096135"/>
            <wp:effectExtent l="0" t="0" r="7620" b="0"/>
            <wp:docPr id="1" name="Picture 1" descr="https://lh6.googleusercontent.com/_j27-r1Nr1BywbDvS9Db26qx8XDuD0CCREy4rQ-2u6pcJRCJOLO0KMZhgu-DBjZ9qbLbUFrqPe86O3lRxxm3mStdjPZRkyFug9d36DOaTCiRceKcpURRLnyXuR6t2b_jxH3ryiTX">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_j27-r1Nr1BywbDvS9Db26qx8XDuD0CCREy4rQ-2u6pcJRCJOLO0KMZhgu-DBjZ9qbLbUFrqPe86O3lRxxm3mStdjPZRkyFug9d36DOaTCiRceKcpURRLnyXuR6t2b_jxH3ryiT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0230" cy="2096135"/>
                    </a:xfrm>
                    <a:prstGeom prst="rect">
                      <a:avLst/>
                    </a:prstGeom>
                    <a:noFill/>
                    <a:ln>
                      <a:noFill/>
                    </a:ln>
                  </pic:spPr>
                </pic:pic>
              </a:graphicData>
            </a:graphic>
          </wp:inline>
        </w:drawing>
      </w:r>
    </w:p>
    <w:p w14:paraId="4FC85DA6" w14:textId="75EF606D" w:rsidR="00FB2A49" w:rsidRDefault="00FB2A49" w:rsidP="00FB2A49">
      <w:pPr>
        <w:pStyle w:val="Caption"/>
      </w:pPr>
      <w:r>
        <w:t xml:space="preserve">Figure </w:t>
      </w:r>
      <w:r>
        <w:fldChar w:fldCharType="begin"/>
      </w:r>
      <w:r>
        <w:instrText xml:space="preserve"> SEQ Figure \* ARABIC </w:instrText>
      </w:r>
      <w:r>
        <w:fldChar w:fldCharType="separate"/>
      </w:r>
      <w:r w:rsidR="00E827D1">
        <w:rPr>
          <w:noProof/>
        </w:rPr>
        <w:t>2</w:t>
      </w:r>
      <w:r>
        <w:fldChar w:fldCharType="end"/>
      </w:r>
      <w:r>
        <w:t>: Scade KCG / CompCert coupling architecture</w:t>
      </w:r>
    </w:p>
    <w:p w14:paraId="659B07DB" w14:textId="77777777" w:rsidR="00681CBE" w:rsidRDefault="00681CBE" w:rsidP="00681CBE">
      <w:pPr>
        <w:pStyle w:val="ITEABodyText"/>
      </w:pPr>
      <w:r w:rsidRPr="00CB6409">
        <w:t>KCG-CompCert is operational; for a Scade model that uses no external elements, the backend outputs an asm file, the corresponding .h and a mapping file</w:t>
      </w:r>
      <w:r>
        <w:t>.</w:t>
      </w:r>
      <w:r w:rsidRPr="00CB6409">
        <w:t xml:space="preserve"> </w:t>
      </w:r>
      <w:r>
        <w:t>The coupling has been developed with</w:t>
      </w:r>
      <w:r w:rsidRPr="00CB6409">
        <w:t xml:space="preserve"> the academic version of CompCert, published as a Git repository at https://github.com/AbsInt/CompCert . Development is based on the source code of release 3.0.1 under the terms of the INRIA Non-Commercial License Agreement (granting the rights to use for research purposes).</w:t>
      </w:r>
    </w:p>
    <w:p w14:paraId="07894B15" w14:textId="77777777" w:rsidR="00681CBE" w:rsidRDefault="00681CBE" w:rsidP="00681CBE">
      <w:pPr>
        <w:pStyle w:val="ITEABodyText"/>
      </w:pPr>
      <w:r w:rsidRPr="00CB6409">
        <w:t>CompCert has several C-like languages in its frontend (CompCert C, Clight, C#minor, Cminor). Kcg-CompCert targets the Clight language as it is near the entry point in the certified compilation chain (its definition is in Coq).</w:t>
      </w:r>
    </w:p>
    <w:p w14:paraId="39121509" w14:textId="77777777" w:rsidR="00681CBE" w:rsidRDefault="00681CBE" w:rsidP="00681CBE">
      <w:pPr>
        <w:jc w:val="both"/>
      </w:pPr>
      <w:r>
        <w:t>The following table documents the status of KCG command line options related to the generated code. Options that have no influence on the code generation backend are omitted (for instance the operator expansion options).</w:t>
      </w:r>
    </w:p>
    <w:p w14:paraId="05BDBAC9" w14:textId="77777777" w:rsidR="00681CBE" w:rsidRDefault="00681CBE" w:rsidP="00681CBE"/>
    <w:p w14:paraId="5AB3738E" w14:textId="77777777" w:rsidR="00681CBE" w:rsidRDefault="00681CBE" w:rsidP="00000EDB">
      <w:pPr>
        <w:jc w:val="both"/>
        <w:rPr>
          <w:rFonts w:ascii="Courier New" w:eastAsia="Courier New" w:hAnsi="Courier New" w:cs="Courier New"/>
        </w:rPr>
      </w:pPr>
      <w:r>
        <w:t xml:space="preserve">Several options have the </w:t>
      </w:r>
      <w:r>
        <w:rPr>
          <w:i/>
        </w:rPr>
        <w:t>Not Implemented</w:t>
      </w:r>
      <w:r>
        <w:t xml:space="preserve"> (NI) status. These options are not essential for the purpose of this work. They select some variations in the way the code is generated — supporting them would pose no particular technical difficulty.</w:t>
      </w:r>
    </w:p>
    <w:p w14:paraId="3164F3D1" w14:textId="77777777" w:rsidR="00681CBE" w:rsidRDefault="00681CBE" w:rsidP="00681CBE">
      <w:pPr>
        <w:rPr>
          <w:rFonts w:ascii="Courier New" w:eastAsia="Courier New" w:hAnsi="Courier New" w:cs="Courier New"/>
        </w:rPr>
      </w:pPr>
    </w:p>
    <w:tbl>
      <w:tblPr>
        <w:tblW w:w="94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0"/>
        <w:gridCol w:w="1080"/>
        <w:gridCol w:w="5400"/>
      </w:tblGrid>
      <w:tr w:rsidR="00681CBE" w14:paraId="78D9CAC5" w14:textId="77777777" w:rsidTr="00E478FB">
        <w:tc>
          <w:tcPr>
            <w:tcW w:w="3000" w:type="dxa"/>
            <w:shd w:val="clear" w:color="auto" w:fill="auto"/>
            <w:tcMar>
              <w:top w:w="100" w:type="dxa"/>
              <w:left w:w="100" w:type="dxa"/>
              <w:bottom w:w="100" w:type="dxa"/>
              <w:right w:w="100" w:type="dxa"/>
            </w:tcMar>
          </w:tcPr>
          <w:p w14:paraId="08EA5B9E" w14:textId="77777777" w:rsidR="00681CBE" w:rsidRDefault="00681CBE" w:rsidP="00E478FB">
            <w:pPr>
              <w:widowControl w:val="0"/>
              <w:spacing w:line="240" w:lineRule="auto"/>
              <w:rPr>
                <w:rFonts w:ascii="Courier New" w:eastAsia="Courier New" w:hAnsi="Courier New" w:cs="Courier New"/>
              </w:rPr>
            </w:pPr>
            <w:r>
              <w:rPr>
                <w:rFonts w:ascii="Courier New" w:eastAsia="Courier New" w:hAnsi="Courier New" w:cs="Courier New"/>
              </w:rPr>
              <w:lastRenderedPageBreak/>
              <w:t>-probes</w:t>
            </w:r>
          </w:p>
        </w:tc>
        <w:tc>
          <w:tcPr>
            <w:tcW w:w="1080" w:type="dxa"/>
            <w:shd w:val="clear" w:color="auto" w:fill="00FF00"/>
            <w:tcMar>
              <w:top w:w="100" w:type="dxa"/>
              <w:left w:w="100" w:type="dxa"/>
              <w:bottom w:w="100" w:type="dxa"/>
              <w:right w:w="100" w:type="dxa"/>
            </w:tcMar>
          </w:tcPr>
          <w:p w14:paraId="21C962D7" w14:textId="77777777" w:rsidR="00681CBE" w:rsidRDefault="00681CBE" w:rsidP="00E478FB">
            <w:pPr>
              <w:widowControl w:val="0"/>
              <w:spacing w:line="240" w:lineRule="auto"/>
              <w:jc w:val="center"/>
              <w:rPr>
                <w:rFonts w:ascii="Courier New" w:eastAsia="Courier New" w:hAnsi="Courier New" w:cs="Courier New"/>
              </w:rPr>
            </w:pPr>
            <w:r>
              <w:rPr>
                <w:rFonts w:ascii="Courier New" w:eastAsia="Courier New" w:hAnsi="Courier New" w:cs="Courier New"/>
              </w:rPr>
              <w:t>OK</w:t>
            </w:r>
          </w:p>
        </w:tc>
        <w:tc>
          <w:tcPr>
            <w:tcW w:w="5400" w:type="dxa"/>
            <w:tcMar>
              <w:top w:w="100" w:type="dxa"/>
              <w:left w:w="100" w:type="dxa"/>
              <w:bottom w:w="100" w:type="dxa"/>
              <w:right w:w="100" w:type="dxa"/>
            </w:tcMar>
          </w:tcPr>
          <w:p w14:paraId="45E18C8D" w14:textId="77777777" w:rsidR="00681CBE" w:rsidRDefault="00681CBE" w:rsidP="00E478FB">
            <w:pPr>
              <w:widowControl w:val="0"/>
              <w:spacing w:line="240" w:lineRule="auto"/>
              <w:rPr>
                <w:rFonts w:ascii="Courier New" w:eastAsia="Courier New" w:hAnsi="Courier New" w:cs="Courier New"/>
              </w:rPr>
            </w:pPr>
          </w:p>
        </w:tc>
      </w:tr>
      <w:tr w:rsidR="00681CBE" w14:paraId="77372E06" w14:textId="77777777" w:rsidTr="00E478FB">
        <w:tc>
          <w:tcPr>
            <w:tcW w:w="3000" w:type="dxa"/>
            <w:shd w:val="clear" w:color="auto" w:fill="auto"/>
            <w:tcMar>
              <w:top w:w="100" w:type="dxa"/>
              <w:left w:w="100" w:type="dxa"/>
              <w:bottom w:w="100" w:type="dxa"/>
              <w:right w:w="100" w:type="dxa"/>
            </w:tcMar>
          </w:tcPr>
          <w:p w14:paraId="5644E7B1" w14:textId="77777777" w:rsidR="00681CBE" w:rsidRDefault="00681CBE" w:rsidP="00E478FB">
            <w:pPr>
              <w:widowControl w:val="0"/>
              <w:spacing w:line="240" w:lineRule="auto"/>
              <w:rPr>
                <w:rFonts w:ascii="Courier New" w:eastAsia="Courier New" w:hAnsi="Courier New" w:cs="Courier New"/>
              </w:rPr>
            </w:pPr>
            <w:r>
              <w:rPr>
                <w:rFonts w:ascii="Courier New" w:eastAsia="Courier New" w:hAnsi="Courier New" w:cs="Courier New"/>
              </w:rPr>
              <w:t>-header</w:t>
            </w:r>
          </w:p>
        </w:tc>
        <w:tc>
          <w:tcPr>
            <w:tcW w:w="1080" w:type="dxa"/>
            <w:shd w:val="clear" w:color="auto" w:fill="F6B26B"/>
            <w:tcMar>
              <w:top w:w="100" w:type="dxa"/>
              <w:left w:w="100" w:type="dxa"/>
              <w:bottom w:w="100" w:type="dxa"/>
              <w:right w:w="100" w:type="dxa"/>
            </w:tcMar>
          </w:tcPr>
          <w:p w14:paraId="2C796285" w14:textId="77777777" w:rsidR="00681CBE" w:rsidRDefault="00681CBE" w:rsidP="00E478FB">
            <w:pPr>
              <w:widowControl w:val="0"/>
              <w:spacing w:line="240" w:lineRule="auto"/>
              <w:jc w:val="center"/>
              <w:rPr>
                <w:rFonts w:ascii="Courier New" w:eastAsia="Courier New" w:hAnsi="Courier New" w:cs="Courier New"/>
              </w:rPr>
            </w:pPr>
            <w:r>
              <w:rPr>
                <w:rFonts w:ascii="Courier New" w:eastAsia="Courier New" w:hAnsi="Courier New" w:cs="Courier New"/>
              </w:rPr>
              <w:t>NI</w:t>
            </w:r>
          </w:p>
        </w:tc>
        <w:tc>
          <w:tcPr>
            <w:tcW w:w="5400" w:type="dxa"/>
            <w:tcMar>
              <w:top w:w="100" w:type="dxa"/>
              <w:left w:w="100" w:type="dxa"/>
              <w:bottom w:w="100" w:type="dxa"/>
              <w:right w:w="100" w:type="dxa"/>
            </w:tcMar>
          </w:tcPr>
          <w:p w14:paraId="47C54D66" w14:textId="77777777" w:rsidR="00681CBE" w:rsidRDefault="00681CBE" w:rsidP="00E478FB">
            <w:pPr>
              <w:widowControl w:val="0"/>
              <w:spacing w:line="240" w:lineRule="auto"/>
              <w:rPr>
                <w:rFonts w:ascii="Courier New" w:eastAsia="Courier New" w:hAnsi="Courier New" w:cs="Courier New"/>
              </w:rPr>
            </w:pPr>
          </w:p>
        </w:tc>
      </w:tr>
      <w:tr w:rsidR="00681CBE" w14:paraId="3F2E335E" w14:textId="77777777" w:rsidTr="00E478FB">
        <w:tc>
          <w:tcPr>
            <w:tcW w:w="3000" w:type="dxa"/>
            <w:shd w:val="clear" w:color="auto" w:fill="auto"/>
            <w:tcMar>
              <w:top w:w="100" w:type="dxa"/>
              <w:left w:w="100" w:type="dxa"/>
              <w:bottom w:w="100" w:type="dxa"/>
              <w:right w:w="100" w:type="dxa"/>
            </w:tcMar>
          </w:tcPr>
          <w:p w14:paraId="1AED9292" w14:textId="77777777" w:rsidR="00681CBE" w:rsidRDefault="00681CBE" w:rsidP="00E478FB">
            <w:pPr>
              <w:widowControl w:val="0"/>
              <w:spacing w:line="240" w:lineRule="auto"/>
              <w:rPr>
                <w:rFonts w:ascii="Courier New" w:eastAsia="Courier New" w:hAnsi="Courier New" w:cs="Courier New"/>
              </w:rPr>
            </w:pPr>
            <w:r>
              <w:rPr>
                <w:rFonts w:ascii="Courier New" w:eastAsia="Courier New" w:hAnsi="Courier New" w:cs="Courier New"/>
              </w:rPr>
              <w:t>-short_circuit</w:t>
            </w:r>
          </w:p>
        </w:tc>
        <w:tc>
          <w:tcPr>
            <w:tcW w:w="1080" w:type="dxa"/>
            <w:shd w:val="clear" w:color="auto" w:fill="E06666"/>
            <w:tcMar>
              <w:top w:w="100" w:type="dxa"/>
              <w:left w:w="100" w:type="dxa"/>
              <w:bottom w:w="100" w:type="dxa"/>
              <w:right w:w="100" w:type="dxa"/>
            </w:tcMar>
          </w:tcPr>
          <w:p w14:paraId="271C9E38" w14:textId="77777777" w:rsidR="00681CBE" w:rsidRDefault="00681CBE" w:rsidP="00E478FB">
            <w:pPr>
              <w:widowControl w:val="0"/>
              <w:spacing w:line="240" w:lineRule="auto"/>
              <w:jc w:val="center"/>
              <w:rPr>
                <w:rFonts w:ascii="Courier New" w:eastAsia="Courier New" w:hAnsi="Courier New" w:cs="Courier New"/>
              </w:rPr>
            </w:pPr>
          </w:p>
          <w:p w14:paraId="0FEE8025" w14:textId="77777777" w:rsidR="00681CBE" w:rsidRDefault="00681CBE" w:rsidP="00E478FB">
            <w:pPr>
              <w:widowControl w:val="0"/>
              <w:spacing w:line="240" w:lineRule="auto"/>
              <w:jc w:val="center"/>
              <w:rPr>
                <w:rFonts w:ascii="Courier New" w:eastAsia="Courier New" w:hAnsi="Courier New" w:cs="Courier New"/>
              </w:rPr>
            </w:pPr>
            <w:r>
              <w:rPr>
                <w:rFonts w:ascii="Courier New" w:eastAsia="Courier New" w:hAnsi="Courier New" w:cs="Courier New"/>
              </w:rPr>
              <w:t>NO</w:t>
            </w:r>
          </w:p>
        </w:tc>
        <w:tc>
          <w:tcPr>
            <w:tcW w:w="5400" w:type="dxa"/>
            <w:tcMar>
              <w:top w:w="100" w:type="dxa"/>
              <w:left w:w="100" w:type="dxa"/>
              <w:bottom w:w="100" w:type="dxa"/>
              <w:right w:w="100" w:type="dxa"/>
            </w:tcMar>
          </w:tcPr>
          <w:p w14:paraId="4BB6CEF4" w14:textId="77777777" w:rsidR="00681CBE" w:rsidRDefault="00681CBE" w:rsidP="00E478FB">
            <w:pPr>
              <w:widowControl w:val="0"/>
              <w:spacing w:line="240" w:lineRule="auto"/>
              <w:rPr>
                <w:rFonts w:ascii="Courier New" w:eastAsia="Courier New" w:hAnsi="Courier New" w:cs="Courier New"/>
                <w:i/>
              </w:rPr>
            </w:pPr>
            <w:r>
              <w:rPr>
                <w:rFonts w:ascii="Courier New" w:eastAsia="Courier New" w:hAnsi="Courier New" w:cs="Courier New"/>
                <w:i/>
              </w:rPr>
              <w:t xml:space="preserve">No short-circuit operators in the </w:t>
            </w:r>
            <w:r>
              <w:rPr>
                <w:rFonts w:ascii="Courier New" w:eastAsia="Courier New" w:hAnsi="Courier New" w:cs="Courier New"/>
              </w:rPr>
              <w:t xml:space="preserve">Clight </w:t>
            </w:r>
            <w:r>
              <w:rPr>
                <w:rFonts w:ascii="Courier New" w:eastAsia="Courier New" w:hAnsi="Courier New" w:cs="Courier New"/>
                <w:i/>
              </w:rPr>
              <w:t xml:space="preserve">AST, we would need to target the preceding </w:t>
            </w:r>
            <w:r>
              <w:rPr>
                <w:rFonts w:ascii="Courier New" w:eastAsia="Courier New" w:hAnsi="Courier New" w:cs="Courier New"/>
              </w:rPr>
              <w:t>Csyntax</w:t>
            </w:r>
            <w:r>
              <w:rPr>
                <w:rFonts w:ascii="Courier New" w:eastAsia="Courier New" w:hAnsi="Courier New" w:cs="Courier New"/>
                <w:i/>
              </w:rPr>
              <w:t xml:space="preserve"> AST.</w:t>
            </w:r>
          </w:p>
        </w:tc>
      </w:tr>
      <w:tr w:rsidR="00681CBE" w14:paraId="1DF5368B" w14:textId="77777777" w:rsidTr="00E478FB">
        <w:tc>
          <w:tcPr>
            <w:tcW w:w="3000" w:type="dxa"/>
            <w:shd w:val="clear" w:color="auto" w:fill="auto"/>
            <w:tcMar>
              <w:top w:w="100" w:type="dxa"/>
              <w:left w:w="100" w:type="dxa"/>
              <w:bottom w:w="100" w:type="dxa"/>
              <w:right w:w="100" w:type="dxa"/>
            </w:tcMar>
          </w:tcPr>
          <w:p w14:paraId="6A7576FC" w14:textId="77777777" w:rsidR="00681CBE" w:rsidRDefault="00681CBE" w:rsidP="00E478FB">
            <w:pPr>
              <w:widowControl w:val="0"/>
              <w:spacing w:line="240" w:lineRule="auto"/>
              <w:rPr>
                <w:rFonts w:ascii="Courier New" w:eastAsia="Courier New" w:hAnsi="Courier New" w:cs="Courier New"/>
              </w:rPr>
            </w:pPr>
            <w:r>
              <w:rPr>
                <w:rFonts w:ascii="Courier New" w:eastAsia="Courier New" w:hAnsi="Courier New" w:cs="Courier New"/>
              </w:rPr>
              <w:t>-keep_asserts</w:t>
            </w:r>
          </w:p>
        </w:tc>
        <w:tc>
          <w:tcPr>
            <w:tcW w:w="1080" w:type="dxa"/>
            <w:shd w:val="clear" w:color="auto" w:fill="F6B26B"/>
            <w:tcMar>
              <w:top w:w="100" w:type="dxa"/>
              <w:left w:w="100" w:type="dxa"/>
              <w:bottom w:w="100" w:type="dxa"/>
              <w:right w:w="100" w:type="dxa"/>
            </w:tcMar>
          </w:tcPr>
          <w:p w14:paraId="37629995" w14:textId="77777777" w:rsidR="00681CBE" w:rsidRDefault="00681CBE" w:rsidP="00E478FB">
            <w:pPr>
              <w:widowControl w:val="0"/>
              <w:spacing w:line="240" w:lineRule="auto"/>
              <w:jc w:val="center"/>
              <w:rPr>
                <w:rFonts w:ascii="Courier New" w:eastAsia="Courier New" w:hAnsi="Courier New" w:cs="Courier New"/>
              </w:rPr>
            </w:pPr>
            <w:r>
              <w:rPr>
                <w:rFonts w:ascii="Courier New" w:eastAsia="Courier New" w:hAnsi="Courier New" w:cs="Courier New"/>
              </w:rPr>
              <w:t>NI</w:t>
            </w:r>
          </w:p>
        </w:tc>
        <w:tc>
          <w:tcPr>
            <w:tcW w:w="5400" w:type="dxa"/>
            <w:tcMar>
              <w:top w:w="100" w:type="dxa"/>
              <w:left w:w="100" w:type="dxa"/>
              <w:bottom w:w="100" w:type="dxa"/>
              <w:right w:w="100" w:type="dxa"/>
            </w:tcMar>
          </w:tcPr>
          <w:p w14:paraId="5CAAC284" w14:textId="77777777" w:rsidR="00681CBE" w:rsidRDefault="00681CBE" w:rsidP="00E478FB">
            <w:pPr>
              <w:widowControl w:val="0"/>
              <w:spacing w:line="240" w:lineRule="auto"/>
              <w:rPr>
                <w:rFonts w:ascii="Courier New" w:eastAsia="Courier New" w:hAnsi="Courier New" w:cs="Courier New"/>
              </w:rPr>
            </w:pPr>
          </w:p>
        </w:tc>
      </w:tr>
      <w:tr w:rsidR="00681CBE" w14:paraId="7F451189" w14:textId="77777777" w:rsidTr="00E478FB">
        <w:tc>
          <w:tcPr>
            <w:tcW w:w="3000" w:type="dxa"/>
            <w:shd w:val="clear" w:color="auto" w:fill="auto"/>
            <w:tcMar>
              <w:top w:w="100" w:type="dxa"/>
              <w:left w:w="100" w:type="dxa"/>
              <w:bottom w:w="100" w:type="dxa"/>
              <w:right w:w="100" w:type="dxa"/>
            </w:tcMar>
          </w:tcPr>
          <w:p w14:paraId="633A3E3F" w14:textId="77777777" w:rsidR="00681CBE" w:rsidRDefault="00681CBE" w:rsidP="00E478FB">
            <w:pPr>
              <w:widowControl w:val="0"/>
              <w:spacing w:line="240" w:lineRule="auto"/>
              <w:rPr>
                <w:rFonts w:ascii="Courier New" w:eastAsia="Courier New" w:hAnsi="Courier New" w:cs="Courier New"/>
              </w:rPr>
            </w:pPr>
            <w:r>
              <w:rPr>
                <w:rFonts w:ascii="Courier New" w:eastAsia="Courier New" w:hAnsi="Courier New" w:cs="Courier New"/>
              </w:rPr>
              <w:t>-separate_io / -no_separate_io /</w:t>
            </w:r>
          </w:p>
          <w:p w14:paraId="4C72E93A" w14:textId="77777777" w:rsidR="00681CBE" w:rsidRDefault="00681CBE" w:rsidP="00E478FB">
            <w:pPr>
              <w:widowControl w:val="0"/>
              <w:spacing w:line="240" w:lineRule="auto"/>
              <w:rPr>
                <w:rFonts w:ascii="Courier New" w:eastAsia="Courier New" w:hAnsi="Courier New" w:cs="Courier New"/>
              </w:rPr>
            </w:pPr>
            <w:r>
              <w:rPr>
                <w:rFonts w:ascii="Courier New" w:eastAsia="Courier New" w:hAnsi="Courier New" w:cs="Courier New"/>
              </w:rPr>
              <w:t>-separate_io_all</w:t>
            </w:r>
          </w:p>
        </w:tc>
        <w:tc>
          <w:tcPr>
            <w:tcW w:w="1080" w:type="dxa"/>
            <w:shd w:val="clear" w:color="auto" w:fill="00FF00"/>
            <w:tcMar>
              <w:top w:w="100" w:type="dxa"/>
              <w:left w:w="100" w:type="dxa"/>
              <w:bottom w:w="100" w:type="dxa"/>
              <w:right w:w="100" w:type="dxa"/>
            </w:tcMar>
          </w:tcPr>
          <w:p w14:paraId="6F6A36F3" w14:textId="77777777" w:rsidR="00681CBE" w:rsidRDefault="00681CBE" w:rsidP="00E478FB">
            <w:pPr>
              <w:widowControl w:val="0"/>
              <w:spacing w:line="240" w:lineRule="auto"/>
              <w:jc w:val="center"/>
              <w:rPr>
                <w:rFonts w:ascii="Courier New" w:eastAsia="Courier New" w:hAnsi="Courier New" w:cs="Courier New"/>
              </w:rPr>
            </w:pPr>
            <w:r>
              <w:rPr>
                <w:rFonts w:ascii="Courier New" w:eastAsia="Courier New" w:hAnsi="Courier New" w:cs="Courier New"/>
              </w:rPr>
              <w:br/>
              <w:t>OK</w:t>
            </w:r>
          </w:p>
        </w:tc>
        <w:tc>
          <w:tcPr>
            <w:tcW w:w="5400" w:type="dxa"/>
            <w:tcMar>
              <w:top w:w="100" w:type="dxa"/>
              <w:left w:w="100" w:type="dxa"/>
              <w:bottom w:w="100" w:type="dxa"/>
              <w:right w:w="100" w:type="dxa"/>
            </w:tcMar>
          </w:tcPr>
          <w:p w14:paraId="58CB0329" w14:textId="77777777" w:rsidR="00681CBE" w:rsidRDefault="00681CBE" w:rsidP="00E478FB">
            <w:pPr>
              <w:widowControl w:val="0"/>
              <w:spacing w:line="240" w:lineRule="auto"/>
              <w:rPr>
                <w:rFonts w:ascii="Courier New" w:eastAsia="Courier New" w:hAnsi="Courier New" w:cs="Courier New"/>
              </w:rPr>
            </w:pPr>
          </w:p>
        </w:tc>
      </w:tr>
      <w:tr w:rsidR="00681CBE" w14:paraId="7257684C" w14:textId="77777777" w:rsidTr="00E478FB">
        <w:tc>
          <w:tcPr>
            <w:tcW w:w="3000" w:type="dxa"/>
            <w:shd w:val="clear" w:color="auto" w:fill="auto"/>
            <w:tcMar>
              <w:top w:w="100" w:type="dxa"/>
              <w:left w:w="100" w:type="dxa"/>
              <w:bottom w:w="100" w:type="dxa"/>
              <w:right w:w="100" w:type="dxa"/>
            </w:tcMar>
          </w:tcPr>
          <w:p w14:paraId="17BEA637" w14:textId="77777777" w:rsidR="00681CBE" w:rsidRDefault="00681CBE" w:rsidP="00E478FB">
            <w:pPr>
              <w:widowControl w:val="0"/>
              <w:spacing w:line="240" w:lineRule="auto"/>
              <w:rPr>
                <w:rFonts w:ascii="Courier New" w:eastAsia="Courier New" w:hAnsi="Courier New" w:cs="Courier New"/>
              </w:rPr>
            </w:pPr>
            <w:r>
              <w:rPr>
                <w:rFonts w:ascii="Courier New" w:eastAsia="Courier New" w:hAnsi="Courier New" w:cs="Courier New"/>
              </w:rPr>
              <w:t>-observe / -no_observe /</w:t>
            </w:r>
            <w:r>
              <w:rPr>
                <w:rFonts w:ascii="Courier New" w:eastAsia="Courier New" w:hAnsi="Courier New" w:cs="Courier New"/>
              </w:rPr>
              <w:br/>
              <w:t>-debug</w:t>
            </w:r>
          </w:p>
        </w:tc>
        <w:tc>
          <w:tcPr>
            <w:tcW w:w="1080" w:type="dxa"/>
            <w:shd w:val="clear" w:color="auto" w:fill="00FF00"/>
            <w:tcMar>
              <w:top w:w="100" w:type="dxa"/>
              <w:left w:w="100" w:type="dxa"/>
              <w:bottom w:w="100" w:type="dxa"/>
              <w:right w:w="100" w:type="dxa"/>
            </w:tcMar>
          </w:tcPr>
          <w:p w14:paraId="07FB3FC2" w14:textId="77777777" w:rsidR="00681CBE" w:rsidRDefault="00681CBE" w:rsidP="00E478FB">
            <w:pPr>
              <w:widowControl w:val="0"/>
              <w:spacing w:line="240" w:lineRule="auto"/>
              <w:jc w:val="center"/>
              <w:rPr>
                <w:rFonts w:ascii="Courier New" w:eastAsia="Courier New" w:hAnsi="Courier New" w:cs="Courier New"/>
              </w:rPr>
            </w:pPr>
            <w:r>
              <w:rPr>
                <w:rFonts w:ascii="Courier New" w:eastAsia="Courier New" w:hAnsi="Courier New" w:cs="Courier New"/>
              </w:rPr>
              <w:br/>
              <w:t>OK</w:t>
            </w:r>
          </w:p>
        </w:tc>
        <w:tc>
          <w:tcPr>
            <w:tcW w:w="5400" w:type="dxa"/>
            <w:tcMar>
              <w:top w:w="100" w:type="dxa"/>
              <w:left w:w="100" w:type="dxa"/>
              <w:bottom w:w="100" w:type="dxa"/>
              <w:right w:w="100" w:type="dxa"/>
            </w:tcMar>
          </w:tcPr>
          <w:p w14:paraId="4CC9BCA8" w14:textId="77777777" w:rsidR="00681CBE" w:rsidRDefault="00681CBE" w:rsidP="00E478FB">
            <w:pPr>
              <w:widowControl w:val="0"/>
              <w:spacing w:line="240" w:lineRule="auto"/>
              <w:rPr>
                <w:rFonts w:ascii="Courier New" w:eastAsia="Courier New" w:hAnsi="Courier New" w:cs="Courier New"/>
              </w:rPr>
            </w:pPr>
          </w:p>
        </w:tc>
      </w:tr>
      <w:tr w:rsidR="00681CBE" w14:paraId="37074B71" w14:textId="77777777" w:rsidTr="00E478FB">
        <w:tc>
          <w:tcPr>
            <w:tcW w:w="3000" w:type="dxa"/>
            <w:shd w:val="clear" w:color="auto" w:fill="auto"/>
            <w:tcMar>
              <w:top w:w="100" w:type="dxa"/>
              <w:left w:w="100" w:type="dxa"/>
              <w:bottom w:w="100" w:type="dxa"/>
              <w:right w:w="100" w:type="dxa"/>
            </w:tcMar>
          </w:tcPr>
          <w:p w14:paraId="1E4921B3" w14:textId="77777777" w:rsidR="00681CBE" w:rsidRDefault="00681CBE" w:rsidP="00E478FB">
            <w:pPr>
              <w:widowControl w:val="0"/>
              <w:spacing w:line="240" w:lineRule="auto"/>
              <w:rPr>
                <w:rFonts w:ascii="Courier New" w:eastAsia="Courier New" w:hAnsi="Courier New" w:cs="Courier New"/>
              </w:rPr>
            </w:pPr>
            <w:r>
              <w:rPr>
                <w:rFonts w:ascii="Courier New" w:eastAsia="Courier New" w:hAnsi="Courier New" w:cs="Courier New"/>
              </w:rPr>
              <w:t>-wrap_c_ops</w:t>
            </w:r>
          </w:p>
        </w:tc>
        <w:tc>
          <w:tcPr>
            <w:tcW w:w="1080" w:type="dxa"/>
            <w:shd w:val="clear" w:color="auto" w:fill="999999"/>
            <w:tcMar>
              <w:top w:w="100" w:type="dxa"/>
              <w:left w:w="100" w:type="dxa"/>
              <w:bottom w:w="100" w:type="dxa"/>
              <w:right w:w="100" w:type="dxa"/>
            </w:tcMar>
          </w:tcPr>
          <w:p w14:paraId="769E8DB1" w14:textId="77777777" w:rsidR="00681CBE" w:rsidRDefault="00681CBE" w:rsidP="00E478FB">
            <w:pPr>
              <w:widowControl w:val="0"/>
              <w:spacing w:line="240" w:lineRule="auto"/>
              <w:jc w:val="center"/>
              <w:rPr>
                <w:rFonts w:ascii="Courier New" w:eastAsia="Courier New" w:hAnsi="Courier New" w:cs="Courier New"/>
              </w:rPr>
            </w:pPr>
            <w:r>
              <w:rPr>
                <w:rFonts w:ascii="Courier New" w:eastAsia="Courier New" w:hAnsi="Courier New" w:cs="Courier New"/>
              </w:rPr>
              <w:t>N/A</w:t>
            </w:r>
          </w:p>
        </w:tc>
        <w:tc>
          <w:tcPr>
            <w:tcW w:w="5400" w:type="dxa"/>
            <w:tcMar>
              <w:top w:w="100" w:type="dxa"/>
              <w:left w:w="100" w:type="dxa"/>
              <w:bottom w:w="100" w:type="dxa"/>
              <w:right w:w="100" w:type="dxa"/>
            </w:tcMar>
          </w:tcPr>
          <w:p w14:paraId="3BAEABF3" w14:textId="77777777" w:rsidR="00681CBE" w:rsidRDefault="00681CBE" w:rsidP="00E478FB">
            <w:pPr>
              <w:widowControl w:val="0"/>
              <w:spacing w:line="240" w:lineRule="auto"/>
              <w:rPr>
                <w:rFonts w:ascii="Courier New" w:eastAsia="Courier New" w:hAnsi="Courier New" w:cs="Courier New"/>
                <w:i/>
              </w:rPr>
            </w:pPr>
            <w:r>
              <w:rPr>
                <w:rFonts w:ascii="Courier New" w:eastAsia="Courier New" w:hAnsi="Courier New" w:cs="Courier New"/>
                <w:i/>
              </w:rPr>
              <w:t>This option is meant to customize the implementation of C operators via. C preprocessor macros ; it doesn’t apply for KCG-CompCert which outputs the assembly code directly.</w:t>
            </w:r>
          </w:p>
        </w:tc>
      </w:tr>
      <w:tr w:rsidR="00681CBE" w14:paraId="1A737397" w14:textId="77777777" w:rsidTr="00E478FB">
        <w:tc>
          <w:tcPr>
            <w:tcW w:w="3000" w:type="dxa"/>
            <w:shd w:val="clear" w:color="auto" w:fill="auto"/>
            <w:tcMar>
              <w:top w:w="100" w:type="dxa"/>
              <w:left w:w="100" w:type="dxa"/>
              <w:bottom w:w="100" w:type="dxa"/>
              <w:right w:w="100" w:type="dxa"/>
            </w:tcMar>
          </w:tcPr>
          <w:p w14:paraId="2DE5F070" w14:textId="77777777" w:rsidR="00681CBE" w:rsidRDefault="00681CBE" w:rsidP="00E478FB">
            <w:pPr>
              <w:widowControl w:val="0"/>
              <w:spacing w:line="240" w:lineRule="auto"/>
              <w:rPr>
                <w:rFonts w:ascii="Courier New" w:eastAsia="Courier New" w:hAnsi="Courier New" w:cs="Courier New"/>
              </w:rPr>
            </w:pPr>
            <w:r>
              <w:rPr>
                <w:rFonts w:ascii="Courier New" w:eastAsia="Courier New" w:hAnsi="Courier New" w:cs="Courier New"/>
              </w:rPr>
              <w:t>-name_length / -significance_length</w:t>
            </w:r>
          </w:p>
        </w:tc>
        <w:tc>
          <w:tcPr>
            <w:tcW w:w="1080" w:type="dxa"/>
            <w:shd w:val="clear" w:color="auto" w:fill="999999"/>
            <w:tcMar>
              <w:top w:w="100" w:type="dxa"/>
              <w:left w:w="100" w:type="dxa"/>
              <w:bottom w:w="100" w:type="dxa"/>
              <w:right w:w="100" w:type="dxa"/>
            </w:tcMar>
          </w:tcPr>
          <w:p w14:paraId="6945CFFA" w14:textId="77777777" w:rsidR="00681CBE" w:rsidRDefault="00681CBE" w:rsidP="00E478FB">
            <w:pPr>
              <w:widowControl w:val="0"/>
              <w:spacing w:line="240" w:lineRule="auto"/>
              <w:jc w:val="center"/>
              <w:rPr>
                <w:rFonts w:ascii="Courier New" w:eastAsia="Courier New" w:hAnsi="Courier New" w:cs="Courier New"/>
              </w:rPr>
            </w:pPr>
            <w:r>
              <w:rPr>
                <w:rFonts w:ascii="Courier New" w:eastAsia="Courier New" w:hAnsi="Courier New" w:cs="Courier New"/>
              </w:rPr>
              <w:t>N/A</w:t>
            </w:r>
          </w:p>
        </w:tc>
        <w:tc>
          <w:tcPr>
            <w:tcW w:w="5400" w:type="dxa"/>
            <w:tcMar>
              <w:top w:w="100" w:type="dxa"/>
              <w:left w:w="100" w:type="dxa"/>
              <w:bottom w:w="100" w:type="dxa"/>
              <w:right w:w="100" w:type="dxa"/>
            </w:tcMar>
          </w:tcPr>
          <w:p w14:paraId="36489B1D" w14:textId="77777777" w:rsidR="00681CBE" w:rsidRDefault="00681CBE" w:rsidP="00E478FB">
            <w:pPr>
              <w:widowControl w:val="0"/>
              <w:spacing w:line="240" w:lineRule="auto"/>
              <w:rPr>
                <w:rFonts w:ascii="Courier New" w:eastAsia="Courier New" w:hAnsi="Courier New" w:cs="Courier New"/>
                <w:i/>
              </w:rPr>
            </w:pPr>
            <w:r>
              <w:rPr>
                <w:rFonts w:ascii="Courier New" w:eastAsia="Courier New" w:hAnsi="Courier New" w:cs="Courier New"/>
                <w:i/>
              </w:rPr>
              <w:t>This option is meant to accommodate C compilers that have constraints on the length of identifiers ; CompCert doesn’t have such limits.</w:t>
            </w:r>
          </w:p>
        </w:tc>
      </w:tr>
      <w:tr w:rsidR="00681CBE" w14:paraId="4A13C22D" w14:textId="77777777" w:rsidTr="00E478FB">
        <w:tc>
          <w:tcPr>
            <w:tcW w:w="3000" w:type="dxa"/>
            <w:shd w:val="clear" w:color="auto" w:fill="auto"/>
            <w:tcMar>
              <w:top w:w="100" w:type="dxa"/>
              <w:left w:w="100" w:type="dxa"/>
              <w:bottom w:w="100" w:type="dxa"/>
              <w:right w:w="100" w:type="dxa"/>
            </w:tcMar>
          </w:tcPr>
          <w:p w14:paraId="5A262957" w14:textId="77777777" w:rsidR="00681CBE" w:rsidRDefault="00681CBE" w:rsidP="00E478FB">
            <w:pPr>
              <w:widowControl w:val="0"/>
              <w:spacing w:line="240" w:lineRule="auto"/>
              <w:rPr>
                <w:rFonts w:ascii="Courier New" w:eastAsia="Courier New" w:hAnsi="Courier New" w:cs="Courier New"/>
              </w:rPr>
            </w:pPr>
            <w:r>
              <w:rPr>
                <w:rFonts w:ascii="Courier New" w:eastAsia="Courier New" w:hAnsi="Courier New" w:cs="Courier New"/>
              </w:rPr>
              <w:t>-user_config</w:t>
            </w:r>
          </w:p>
        </w:tc>
        <w:tc>
          <w:tcPr>
            <w:tcW w:w="1080" w:type="dxa"/>
            <w:shd w:val="clear" w:color="auto" w:fill="999999"/>
            <w:tcMar>
              <w:top w:w="100" w:type="dxa"/>
              <w:left w:w="100" w:type="dxa"/>
              <w:bottom w:w="100" w:type="dxa"/>
              <w:right w:w="100" w:type="dxa"/>
            </w:tcMar>
          </w:tcPr>
          <w:p w14:paraId="050CE55F" w14:textId="77777777" w:rsidR="00681CBE" w:rsidRDefault="00681CBE" w:rsidP="00E478FB">
            <w:pPr>
              <w:widowControl w:val="0"/>
              <w:spacing w:line="240" w:lineRule="auto"/>
              <w:jc w:val="center"/>
              <w:rPr>
                <w:rFonts w:ascii="Courier New" w:eastAsia="Courier New" w:hAnsi="Courier New" w:cs="Courier New"/>
              </w:rPr>
            </w:pPr>
            <w:r>
              <w:rPr>
                <w:rFonts w:ascii="Courier New" w:eastAsia="Courier New" w:hAnsi="Courier New" w:cs="Courier New"/>
              </w:rPr>
              <w:t>N/A</w:t>
            </w:r>
          </w:p>
        </w:tc>
        <w:tc>
          <w:tcPr>
            <w:tcW w:w="5400" w:type="dxa"/>
            <w:tcMar>
              <w:top w:w="100" w:type="dxa"/>
              <w:left w:w="100" w:type="dxa"/>
              <w:bottom w:w="100" w:type="dxa"/>
              <w:right w:w="100" w:type="dxa"/>
            </w:tcMar>
          </w:tcPr>
          <w:p w14:paraId="5AC81D2A" w14:textId="77777777" w:rsidR="00681CBE" w:rsidRDefault="00681CBE" w:rsidP="00E478FB">
            <w:pPr>
              <w:widowControl w:val="0"/>
              <w:spacing w:line="240" w:lineRule="auto"/>
              <w:rPr>
                <w:rFonts w:ascii="Courier New" w:eastAsia="Courier New" w:hAnsi="Courier New" w:cs="Courier New"/>
                <w:i/>
              </w:rPr>
            </w:pPr>
            <w:r>
              <w:rPr>
                <w:rFonts w:ascii="Courier New" w:eastAsia="Courier New" w:hAnsi="Courier New" w:cs="Courier New"/>
                <w:i/>
              </w:rPr>
              <w:t>This option instructs KCG to include a user-supplied .h file in the generated headers so as to let him override some definitions. Again, this relies on the C preprocessor and doesn’t apply to KCG-CompCert since it outputs assembly.</w:t>
            </w:r>
          </w:p>
        </w:tc>
      </w:tr>
      <w:tr w:rsidR="00681CBE" w14:paraId="1D75D6DF" w14:textId="77777777" w:rsidTr="00E478FB">
        <w:tc>
          <w:tcPr>
            <w:tcW w:w="3000" w:type="dxa"/>
            <w:shd w:val="clear" w:color="auto" w:fill="auto"/>
            <w:tcMar>
              <w:top w:w="100" w:type="dxa"/>
              <w:left w:w="100" w:type="dxa"/>
              <w:bottom w:w="100" w:type="dxa"/>
              <w:right w:w="100" w:type="dxa"/>
            </w:tcMar>
          </w:tcPr>
          <w:p w14:paraId="730D2417" w14:textId="77777777" w:rsidR="00681CBE" w:rsidRDefault="00681CBE" w:rsidP="00E478FB">
            <w:pPr>
              <w:widowControl w:val="0"/>
              <w:spacing w:line="240" w:lineRule="auto"/>
              <w:rPr>
                <w:rFonts w:ascii="Courier New" w:eastAsia="Courier New" w:hAnsi="Courier New" w:cs="Courier New"/>
              </w:rPr>
            </w:pPr>
            <w:r>
              <w:rPr>
                <w:rFonts w:ascii="Courier New" w:eastAsia="Courier New" w:hAnsi="Courier New" w:cs="Courier New"/>
              </w:rPr>
              <w:t>-input_threshold</w:t>
            </w:r>
          </w:p>
        </w:tc>
        <w:tc>
          <w:tcPr>
            <w:tcW w:w="1080" w:type="dxa"/>
            <w:shd w:val="clear" w:color="auto" w:fill="999999"/>
            <w:tcMar>
              <w:top w:w="100" w:type="dxa"/>
              <w:left w:w="100" w:type="dxa"/>
              <w:bottom w:w="100" w:type="dxa"/>
              <w:right w:w="100" w:type="dxa"/>
            </w:tcMar>
          </w:tcPr>
          <w:p w14:paraId="5A2E8E33" w14:textId="77777777" w:rsidR="00681CBE" w:rsidRDefault="00681CBE" w:rsidP="00E478FB">
            <w:pPr>
              <w:widowControl w:val="0"/>
              <w:spacing w:line="240" w:lineRule="auto"/>
              <w:jc w:val="center"/>
              <w:rPr>
                <w:rFonts w:ascii="Courier New" w:eastAsia="Courier New" w:hAnsi="Courier New" w:cs="Courier New"/>
              </w:rPr>
            </w:pPr>
            <w:r>
              <w:rPr>
                <w:rFonts w:ascii="Courier New" w:eastAsia="Courier New" w:hAnsi="Courier New" w:cs="Courier New"/>
              </w:rPr>
              <w:t>N/A</w:t>
            </w:r>
          </w:p>
        </w:tc>
        <w:tc>
          <w:tcPr>
            <w:tcW w:w="5400" w:type="dxa"/>
            <w:tcMar>
              <w:top w:w="100" w:type="dxa"/>
              <w:left w:w="100" w:type="dxa"/>
              <w:bottom w:w="100" w:type="dxa"/>
              <w:right w:w="100" w:type="dxa"/>
            </w:tcMar>
          </w:tcPr>
          <w:p w14:paraId="47122081" w14:textId="77777777" w:rsidR="00681CBE" w:rsidRDefault="00681CBE" w:rsidP="00E478FB">
            <w:pPr>
              <w:widowControl w:val="0"/>
              <w:spacing w:line="240" w:lineRule="auto"/>
              <w:rPr>
                <w:rFonts w:ascii="Courier New" w:eastAsia="Courier New" w:hAnsi="Courier New" w:cs="Courier New"/>
                <w:i/>
              </w:rPr>
            </w:pPr>
            <w:r>
              <w:rPr>
                <w:rFonts w:ascii="Courier New" w:eastAsia="Courier New" w:hAnsi="Courier New" w:cs="Courier New"/>
                <w:i/>
              </w:rPr>
              <w:t>This options modifies the API of the generated code by “packaging” arguments in structures to work around the limitations of some C compiler regarding the maximum number of arguments for a function. CompCert does not have such limitations.</w:t>
            </w:r>
          </w:p>
        </w:tc>
      </w:tr>
      <w:tr w:rsidR="00681CBE" w14:paraId="76A82EDE" w14:textId="77777777" w:rsidTr="00E478FB">
        <w:tc>
          <w:tcPr>
            <w:tcW w:w="3000" w:type="dxa"/>
            <w:shd w:val="clear" w:color="auto" w:fill="auto"/>
            <w:tcMar>
              <w:top w:w="100" w:type="dxa"/>
              <w:left w:w="100" w:type="dxa"/>
              <w:bottom w:w="100" w:type="dxa"/>
              <w:right w:w="100" w:type="dxa"/>
            </w:tcMar>
          </w:tcPr>
          <w:p w14:paraId="4CC0F2F7" w14:textId="77777777" w:rsidR="00681CBE" w:rsidRDefault="00681CBE" w:rsidP="00E478FB">
            <w:pPr>
              <w:widowControl w:val="0"/>
              <w:spacing w:line="240" w:lineRule="auto"/>
              <w:rPr>
                <w:rFonts w:ascii="Courier New" w:eastAsia="Courier New" w:hAnsi="Courier New" w:cs="Courier New"/>
              </w:rPr>
            </w:pPr>
            <w:r>
              <w:rPr>
                <w:rFonts w:ascii="Courier New" w:eastAsia="Courier New" w:hAnsi="Courier New" w:cs="Courier New"/>
              </w:rPr>
              <w:t>-static</w:t>
            </w:r>
          </w:p>
        </w:tc>
        <w:tc>
          <w:tcPr>
            <w:tcW w:w="1080" w:type="dxa"/>
            <w:shd w:val="clear" w:color="auto" w:fill="F6B26B"/>
            <w:tcMar>
              <w:top w:w="100" w:type="dxa"/>
              <w:left w:w="100" w:type="dxa"/>
              <w:bottom w:w="100" w:type="dxa"/>
              <w:right w:w="100" w:type="dxa"/>
            </w:tcMar>
          </w:tcPr>
          <w:p w14:paraId="2135D249" w14:textId="77777777" w:rsidR="00681CBE" w:rsidRDefault="00681CBE" w:rsidP="00E478FB">
            <w:pPr>
              <w:widowControl w:val="0"/>
              <w:spacing w:line="240" w:lineRule="auto"/>
              <w:jc w:val="center"/>
              <w:rPr>
                <w:rFonts w:ascii="Courier New" w:eastAsia="Courier New" w:hAnsi="Courier New" w:cs="Courier New"/>
              </w:rPr>
            </w:pPr>
            <w:r>
              <w:rPr>
                <w:rFonts w:ascii="Courier New" w:eastAsia="Courier New" w:hAnsi="Courier New" w:cs="Courier New"/>
              </w:rPr>
              <w:t>NI</w:t>
            </w:r>
          </w:p>
        </w:tc>
        <w:tc>
          <w:tcPr>
            <w:tcW w:w="5400" w:type="dxa"/>
            <w:tcMar>
              <w:top w:w="100" w:type="dxa"/>
              <w:left w:w="100" w:type="dxa"/>
              <w:bottom w:w="100" w:type="dxa"/>
              <w:right w:w="100" w:type="dxa"/>
            </w:tcMar>
          </w:tcPr>
          <w:p w14:paraId="28D10B38" w14:textId="77777777" w:rsidR="00681CBE" w:rsidRDefault="00681CBE" w:rsidP="00E478FB">
            <w:pPr>
              <w:widowControl w:val="0"/>
              <w:spacing w:line="240" w:lineRule="auto"/>
              <w:rPr>
                <w:rFonts w:ascii="Courier New" w:eastAsia="Courier New" w:hAnsi="Courier New" w:cs="Courier New"/>
              </w:rPr>
            </w:pPr>
          </w:p>
        </w:tc>
      </w:tr>
      <w:tr w:rsidR="00681CBE" w14:paraId="51F1E5A1" w14:textId="77777777" w:rsidTr="00E478FB">
        <w:tc>
          <w:tcPr>
            <w:tcW w:w="3000" w:type="dxa"/>
            <w:shd w:val="clear" w:color="auto" w:fill="auto"/>
            <w:tcMar>
              <w:top w:w="100" w:type="dxa"/>
              <w:left w:w="100" w:type="dxa"/>
              <w:bottom w:w="100" w:type="dxa"/>
              <w:right w:w="100" w:type="dxa"/>
            </w:tcMar>
          </w:tcPr>
          <w:p w14:paraId="2D1AFE73" w14:textId="77777777" w:rsidR="00681CBE" w:rsidRDefault="00681CBE" w:rsidP="00E478FB">
            <w:pPr>
              <w:widowControl w:val="0"/>
              <w:spacing w:line="240" w:lineRule="auto"/>
              <w:rPr>
                <w:rFonts w:ascii="Courier New" w:eastAsia="Courier New" w:hAnsi="Courier New" w:cs="Courier New"/>
              </w:rPr>
            </w:pPr>
            <w:r>
              <w:rPr>
                <w:rFonts w:ascii="Courier New" w:eastAsia="Courier New" w:hAnsi="Courier New" w:cs="Courier New"/>
              </w:rPr>
              <w:t>-global_root_context</w:t>
            </w:r>
          </w:p>
        </w:tc>
        <w:tc>
          <w:tcPr>
            <w:tcW w:w="1080" w:type="dxa"/>
            <w:shd w:val="clear" w:color="auto" w:fill="F6B26B"/>
            <w:tcMar>
              <w:top w:w="100" w:type="dxa"/>
              <w:left w:w="100" w:type="dxa"/>
              <w:bottom w:w="100" w:type="dxa"/>
              <w:right w:w="100" w:type="dxa"/>
            </w:tcMar>
          </w:tcPr>
          <w:p w14:paraId="7FA048BB" w14:textId="77777777" w:rsidR="00681CBE" w:rsidRDefault="00681CBE" w:rsidP="00E478FB">
            <w:pPr>
              <w:widowControl w:val="0"/>
              <w:spacing w:line="240" w:lineRule="auto"/>
              <w:jc w:val="center"/>
              <w:rPr>
                <w:rFonts w:ascii="Courier New" w:eastAsia="Courier New" w:hAnsi="Courier New" w:cs="Courier New"/>
              </w:rPr>
            </w:pPr>
            <w:r>
              <w:rPr>
                <w:rFonts w:ascii="Courier New" w:eastAsia="Courier New" w:hAnsi="Courier New" w:cs="Courier New"/>
              </w:rPr>
              <w:t>NI</w:t>
            </w:r>
          </w:p>
        </w:tc>
        <w:tc>
          <w:tcPr>
            <w:tcW w:w="5400" w:type="dxa"/>
            <w:tcMar>
              <w:top w:w="100" w:type="dxa"/>
              <w:left w:w="100" w:type="dxa"/>
              <w:bottom w:w="100" w:type="dxa"/>
              <w:right w:w="100" w:type="dxa"/>
            </w:tcMar>
          </w:tcPr>
          <w:p w14:paraId="43132EA9" w14:textId="77777777" w:rsidR="00681CBE" w:rsidRDefault="00681CBE" w:rsidP="00E478FB">
            <w:pPr>
              <w:widowControl w:val="0"/>
              <w:spacing w:line="240" w:lineRule="auto"/>
              <w:rPr>
                <w:rFonts w:ascii="Courier New" w:eastAsia="Courier New" w:hAnsi="Courier New" w:cs="Courier New"/>
              </w:rPr>
            </w:pPr>
          </w:p>
        </w:tc>
      </w:tr>
      <w:tr w:rsidR="00681CBE" w14:paraId="52D6E27D" w14:textId="77777777" w:rsidTr="00E478FB">
        <w:tc>
          <w:tcPr>
            <w:tcW w:w="3000" w:type="dxa"/>
            <w:shd w:val="clear" w:color="auto" w:fill="auto"/>
            <w:tcMar>
              <w:top w:w="100" w:type="dxa"/>
              <w:left w:w="100" w:type="dxa"/>
              <w:bottom w:w="100" w:type="dxa"/>
              <w:right w:w="100" w:type="dxa"/>
            </w:tcMar>
          </w:tcPr>
          <w:p w14:paraId="48034255" w14:textId="77777777" w:rsidR="00681CBE" w:rsidRDefault="00681CBE" w:rsidP="00E478FB">
            <w:pPr>
              <w:widowControl w:val="0"/>
              <w:spacing w:line="240" w:lineRule="auto"/>
              <w:rPr>
                <w:rFonts w:ascii="Courier New" w:eastAsia="Courier New" w:hAnsi="Courier New" w:cs="Courier New"/>
              </w:rPr>
            </w:pPr>
            <w:r>
              <w:rPr>
                <w:rFonts w:ascii="Courier New" w:eastAsia="Courier New" w:hAnsi="Courier New" w:cs="Courier New"/>
              </w:rPr>
              <w:t>-globals_prefix</w:t>
            </w:r>
          </w:p>
        </w:tc>
        <w:tc>
          <w:tcPr>
            <w:tcW w:w="1080" w:type="dxa"/>
            <w:shd w:val="clear" w:color="auto" w:fill="F6B26B"/>
            <w:tcMar>
              <w:top w:w="100" w:type="dxa"/>
              <w:left w:w="100" w:type="dxa"/>
              <w:bottom w:w="100" w:type="dxa"/>
              <w:right w:w="100" w:type="dxa"/>
            </w:tcMar>
          </w:tcPr>
          <w:p w14:paraId="40147F7C" w14:textId="77777777" w:rsidR="00681CBE" w:rsidRDefault="00681CBE" w:rsidP="00E478FB">
            <w:pPr>
              <w:widowControl w:val="0"/>
              <w:spacing w:line="240" w:lineRule="auto"/>
              <w:jc w:val="center"/>
              <w:rPr>
                <w:rFonts w:ascii="Courier New" w:eastAsia="Courier New" w:hAnsi="Courier New" w:cs="Courier New"/>
              </w:rPr>
            </w:pPr>
            <w:r>
              <w:rPr>
                <w:rFonts w:ascii="Courier New" w:eastAsia="Courier New" w:hAnsi="Courier New" w:cs="Courier New"/>
              </w:rPr>
              <w:t>NI</w:t>
            </w:r>
          </w:p>
        </w:tc>
        <w:tc>
          <w:tcPr>
            <w:tcW w:w="5400" w:type="dxa"/>
            <w:tcMar>
              <w:top w:w="100" w:type="dxa"/>
              <w:left w:w="100" w:type="dxa"/>
              <w:bottom w:w="100" w:type="dxa"/>
              <w:right w:w="100" w:type="dxa"/>
            </w:tcMar>
          </w:tcPr>
          <w:p w14:paraId="6D6B9242" w14:textId="77777777" w:rsidR="00681CBE" w:rsidRDefault="00681CBE" w:rsidP="00E478FB">
            <w:pPr>
              <w:widowControl w:val="0"/>
              <w:spacing w:line="240" w:lineRule="auto"/>
              <w:rPr>
                <w:rFonts w:ascii="Courier New" w:eastAsia="Courier New" w:hAnsi="Courier New" w:cs="Courier New"/>
              </w:rPr>
            </w:pPr>
          </w:p>
        </w:tc>
      </w:tr>
      <w:tr w:rsidR="00681CBE" w14:paraId="61AA56F7" w14:textId="77777777" w:rsidTr="00E478FB">
        <w:tc>
          <w:tcPr>
            <w:tcW w:w="3000" w:type="dxa"/>
            <w:shd w:val="clear" w:color="auto" w:fill="auto"/>
            <w:tcMar>
              <w:top w:w="100" w:type="dxa"/>
              <w:left w:w="100" w:type="dxa"/>
              <w:bottom w:w="100" w:type="dxa"/>
              <w:right w:w="100" w:type="dxa"/>
            </w:tcMar>
          </w:tcPr>
          <w:p w14:paraId="18BBC0A3" w14:textId="77777777" w:rsidR="00681CBE" w:rsidRDefault="00681CBE" w:rsidP="00E478FB">
            <w:pPr>
              <w:widowControl w:val="0"/>
              <w:spacing w:line="240" w:lineRule="auto"/>
              <w:rPr>
                <w:rFonts w:ascii="Courier New" w:eastAsia="Courier New" w:hAnsi="Courier New" w:cs="Courier New"/>
              </w:rPr>
            </w:pPr>
            <w:r>
              <w:rPr>
                <w:rFonts w:ascii="Courier New" w:eastAsia="Courier New" w:hAnsi="Courier New" w:cs="Courier New"/>
              </w:rPr>
              <w:t>-state_vector</w:t>
            </w:r>
          </w:p>
        </w:tc>
        <w:tc>
          <w:tcPr>
            <w:tcW w:w="1080" w:type="dxa"/>
            <w:shd w:val="clear" w:color="auto" w:fill="F6B26B"/>
            <w:tcMar>
              <w:top w:w="100" w:type="dxa"/>
              <w:left w:w="100" w:type="dxa"/>
              <w:bottom w:w="100" w:type="dxa"/>
              <w:right w:w="100" w:type="dxa"/>
            </w:tcMar>
          </w:tcPr>
          <w:p w14:paraId="75D9DDEA" w14:textId="77777777" w:rsidR="00681CBE" w:rsidRDefault="00681CBE" w:rsidP="00E478FB">
            <w:pPr>
              <w:widowControl w:val="0"/>
              <w:spacing w:line="240" w:lineRule="auto"/>
              <w:jc w:val="center"/>
              <w:rPr>
                <w:rFonts w:ascii="Courier New" w:eastAsia="Courier New" w:hAnsi="Courier New" w:cs="Courier New"/>
              </w:rPr>
            </w:pPr>
            <w:r>
              <w:rPr>
                <w:rFonts w:ascii="Courier New" w:eastAsia="Courier New" w:hAnsi="Courier New" w:cs="Courier New"/>
              </w:rPr>
              <w:t>NI</w:t>
            </w:r>
          </w:p>
        </w:tc>
        <w:tc>
          <w:tcPr>
            <w:tcW w:w="5400" w:type="dxa"/>
            <w:tcMar>
              <w:top w:w="100" w:type="dxa"/>
              <w:left w:w="100" w:type="dxa"/>
              <w:bottom w:w="100" w:type="dxa"/>
              <w:right w:w="100" w:type="dxa"/>
            </w:tcMar>
          </w:tcPr>
          <w:p w14:paraId="42235CC2" w14:textId="77777777" w:rsidR="00681CBE" w:rsidRDefault="00681CBE" w:rsidP="00E478FB">
            <w:pPr>
              <w:widowControl w:val="0"/>
              <w:spacing w:line="240" w:lineRule="auto"/>
              <w:rPr>
                <w:rFonts w:ascii="Courier New" w:eastAsia="Courier New" w:hAnsi="Courier New" w:cs="Courier New"/>
              </w:rPr>
            </w:pPr>
          </w:p>
        </w:tc>
      </w:tr>
    </w:tbl>
    <w:p w14:paraId="5ED72F6D" w14:textId="77777777" w:rsidR="00681CBE" w:rsidRDefault="00681CBE" w:rsidP="00681CBE"/>
    <w:p w14:paraId="00433F72" w14:textId="77777777" w:rsidR="00681CBE" w:rsidRDefault="00681CBE" w:rsidP="00000EDB">
      <w:pPr>
        <w:jc w:val="both"/>
      </w:pPr>
      <w:r>
        <w:t>Testing is done using the qualified KCG 6.6 compiler as a reference. The code produced by KCG 6.6 and KCG-CompCert should have the same behavior. Testing has been done on a Linux host, using the x86_64 target of CompCert.</w:t>
      </w:r>
    </w:p>
    <w:p w14:paraId="2EE59989" w14:textId="77777777" w:rsidR="00681CBE" w:rsidRDefault="00681CBE" w:rsidP="00000EDB">
      <w:pPr>
        <w:jc w:val="both"/>
      </w:pPr>
    </w:p>
    <w:p w14:paraId="7F8732DA" w14:textId="77777777" w:rsidR="00681CBE" w:rsidRDefault="00681CBE" w:rsidP="00000EDB">
      <w:pPr>
        <w:jc w:val="both"/>
      </w:pPr>
      <w:r>
        <w:t>We test KCG-CompCert using KCG’s extensive test suite: we have test Scade models and scenarios (~ 2300 tests) along with the expected results. The test infrastructure has been updated to accommodate KCG-CompCert instead of KCG.</w:t>
      </w:r>
    </w:p>
    <w:p w14:paraId="393FDB30" w14:textId="01D1F40C" w:rsidR="00681CBE" w:rsidRDefault="00681CBE" w:rsidP="00000EDB">
      <w:pPr>
        <w:jc w:val="both"/>
      </w:pPr>
    </w:p>
    <w:p w14:paraId="61C88E10" w14:textId="77777777" w:rsidR="00681CBE" w:rsidRDefault="00681CBE" w:rsidP="00000EDB">
      <w:pPr>
        <w:jc w:val="both"/>
      </w:pPr>
      <w:r>
        <w:t>KCG-CompCert has also been exercised with SET1, our in-house program generating random Scade models. We compare the results of the execution of the code generated by KCG and KCG-CompCert on a random Scade model, applied to a random input vector. We see a low occurrence of difference in behavior: only 6 occurrences for a run of 100 000 random models.</w:t>
      </w:r>
    </w:p>
    <w:p w14:paraId="7D5FAD70" w14:textId="6E8C1945" w:rsidR="00681CBE" w:rsidRDefault="00681CBE" w:rsidP="00681CBE">
      <w:pPr>
        <w:pStyle w:val="ITEABodyText"/>
      </w:pPr>
      <w:r>
        <w:rPr>
          <w:noProof/>
          <w:lang w:val="en-US" w:eastAsia="en-US"/>
        </w:rPr>
        <w:lastRenderedPageBreak/>
        <w:drawing>
          <wp:inline distT="19050" distB="19050" distL="19050" distR="19050" wp14:anchorId="5A8DA5EF" wp14:editId="0723B298">
            <wp:extent cx="5664200" cy="1841500"/>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5664200" cy="1841500"/>
                    </a:xfrm>
                    <a:prstGeom prst="rect">
                      <a:avLst/>
                    </a:prstGeom>
                    <a:ln/>
                  </pic:spPr>
                </pic:pic>
              </a:graphicData>
            </a:graphic>
          </wp:inline>
        </w:drawing>
      </w:r>
    </w:p>
    <w:p w14:paraId="654D835D" w14:textId="77777777" w:rsidR="00681CBE" w:rsidRPr="00681CBE" w:rsidRDefault="00681CBE" w:rsidP="00000EDB">
      <w:pPr>
        <w:pStyle w:val="ITEABodyText"/>
      </w:pPr>
    </w:p>
    <w:p w14:paraId="5535B77B" w14:textId="77777777" w:rsidR="00FB2A49" w:rsidRDefault="00FB2A49" w:rsidP="00D955DB">
      <w:pPr>
        <w:pStyle w:val="ITEABodyText"/>
      </w:pPr>
    </w:p>
    <w:p w14:paraId="747101E9" w14:textId="54786C86" w:rsidR="00BF21AC" w:rsidRDefault="00670383" w:rsidP="00FF1E9C">
      <w:pPr>
        <w:pStyle w:val="ITEAHeading3"/>
      </w:pPr>
      <w:bookmarkStart w:id="28" w:name="_Toc398225049"/>
      <w:r w:rsidRPr="00670383">
        <w:t>Litmus</w:t>
      </w:r>
      <w:bookmarkEnd w:id="28"/>
    </w:p>
    <w:p w14:paraId="1609A063" w14:textId="48872103" w:rsidR="005E708D" w:rsidRDefault="005E708D" w:rsidP="005E708D">
      <w:pPr>
        <w:pStyle w:val="ITEABodyText"/>
      </w:pPr>
      <w:r>
        <w:t>The tool litmus is part of the diy tool suite &lt;http://diy.inria.fr&gt;: a set of software tools for the design and testing of weak, shared, memory models.</w:t>
      </w:r>
      <w:r w:rsidR="00E902BE">
        <w:t xml:space="preserve"> </w:t>
      </w:r>
      <w:r>
        <w:t>More specifically, litmus runs test over actual hardware and collect results. Such tests are violations of the Sequential Consistency model and can be written by hand or, more conveniently, generated by the various generators of the diy tool suite. Those tests are usually written in assembly: supported architectures being ARMv7, ARMv8, PowerPC, MIPS and x86. Litmus consists in a 'compiler' part that translate the test instructions into a specific C file, using inline assembly entangled with specific code that, for instance forks threads, repeat experiments etc. That specific C file is linked with other C file that provides OS support or fixed non-changing infrastructure such as the data structure to collect results.</w:t>
      </w:r>
    </w:p>
    <w:p w14:paraId="0E55BDE4" w14:textId="1A5A5A6E" w:rsidR="005E708D" w:rsidRPr="00FF1E9C" w:rsidRDefault="005E708D" w:rsidP="00FF1E9C">
      <w:pPr>
        <w:pStyle w:val="ITEABodyText"/>
      </w:pPr>
      <w:r>
        <w:t xml:space="preserve">For exploring Kalray MPPA, </w:t>
      </w:r>
      <w:r w:rsidR="00EC1616">
        <w:t>we</w:t>
      </w:r>
      <w:r>
        <w:t xml:space="preserve"> have written a few tests totally by hand and succeeded in running our tests on one cluster of the MPPA only. </w:t>
      </w:r>
    </w:p>
    <w:p w14:paraId="2E634021" w14:textId="77777777" w:rsidR="003E1B95" w:rsidRDefault="003E1B95" w:rsidP="003E1B95">
      <w:pPr>
        <w:pStyle w:val="ITEAHeading2"/>
      </w:pPr>
      <w:bookmarkStart w:id="29" w:name="_Toc398225050"/>
      <w:r>
        <w:t>Interface definitions</w:t>
      </w:r>
      <w:bookmarkEnd w:id="29"/>
    </w:p>
    <w:p w14:paraId="30A00ED3" w14:textId="77777777" w:rsidR="003E1B95" w:rsidRDefault="00140BFF" w:rsidP="003E1B95">
      <w:pPr>
        <w:pStyle w:val="ITEAHeading3"/>
      </w:pPr>
      <w:bookmarkStart w:id="30" w:name="_Toc398225051"/>
      <w:r>
        <w:t xml:space="preserve">Common </w:t>
      </w:r>
      <w:r w:rsidR="003E1B95">
        <w:t>API for code generation on Kalray</w:t>
      </w:r>
      <w:r w:rsidR="00BF21AC">
        <w:t xml:space="preserve"> MPPA256</w:t>
      </w:r>
      <w:bookmarkEnd w:id="30"/>
    </w:p>
    <w:p w14:paraId="52C41529" w14:textId="046328E6" w:rsidR="00D50ADD" w:rsidRDefault="00D50ADD" w:rsidP="003E1B95">
      <w:pPr>
        <w:pStyle w:val="ITEABodyText"/>
      </w:pPr>
      <w:r>
        <w:t>While the main execution platform targeted by the avionics cluster is the Kalray MPPA256 many-core, the ASSUME project is not meant to produce methods and tools fully tailored for only one platform. One particular aspect of platform-independence is code generation. The Kalray MPPA 256 platform provides multiple and complex communication, synchronization, and process management mechanisms in both hardware and software. Following an analysis of the industrial requirements and of the proposed code generation approaches, several partners have identified a minimal “bare metal” API that will be considered for code generation and which:</w:t>
      </w:r>
    </w:p>
    <w:p w14:paraId="5F8ECD34" w14:textId="657D2AD0" w:rsidR="00D50ADD" w:rsidRDefault="00D50ADD" w:rsidP="00D50ADD">
      <w:pPr>
        <w:pStyle w:val="ITEABodyText"/>
        <w:numPr>
          <w:ilvl w:val="0"/>
          <w:numId w:val="19"/>
        </w:numPr>
      </w:pPr>
      <w:r>
        <w:t>Is simple, and thus easy to port on other platforms of interest.</w:t>
      </w:r>
    </w:p>
    <w:p w14:paraId="6B24AD55" w14:textId="26914AE6" w:rsidR="00D50ADD" w:rsidRDefault="00D50ADD" w:rsidP="00D50ADD">
      <w:pPr>
        <w:pStyle w:val="ITEABodyText"/>
        <w:numPr>
          <w:ilvl w:val="0"/>
          <w:numId w:val="19"/>
        </w:numPr>
      </w:pPr>
      <w:r>
        <w:t xml:space="preserve">Is close to hardware, </w:t>
      </w:r>
      <w:r w:rsidR="003A0A84">
        <w:t xml:space="preserve">and </w:t>
      </w:r>
      <w:r>
        <w:t xml:space="preserve">thus </w:t>
      </w:r>
      <w:r w:rsidR="003A0A84">
        <w:t>is both efficient and facilitates</w:t>
      </w:r>
      <w:r>
        <w:t xml:space="preserve"> predictable implementation.</w:t>
      </w:r>
    </w:p>
    <w:p w14:paraId="63C20616" w14:textId="0DE061A1" w:rsidR="00D50ADD" w:rsidRDefault="00D50ADD" w:rsidP="00D50ADD">
      <w:pPr>
        <w:pStyle w:val="ITEABodyText"/>
        <w:numPr>
          <w:ilvl w:val="0"/>
          <w:numId w:val="19"/>
        </w:numPr>
      </w:pPr>
      <w:r>
        <w:t>Is easy to characterize semantically, thus facilitating work on the proof of correctness for parallel code generation.</w:t>
      </w:r>
    </w:p>
    <w:p w14:paraId="386F761B" w14:textId="4771D605" w:rsidR="00625947" w:rsidRDefault="00D50ADD" w:rsidP="003E1B95">
      <w:pPr>
        <w:pStyle w:val="ITEABodyText"/>
      </w:pPr>
      <w:r>
        <w:t>Our</w:t>
      </w:r>
      <w:r w:rsidR="00625947">
        <w:t xml:space="preserve"> A</w:t>
      </w:r>
      <w:r>
        <w:t>P</w:t>
      </w:r>
      <w:r w:rsidR="00625947">
        <w:t xml:space="preserve">I </w:t>
      </w:r>
      <w:r>
        <w:t xml:space="preserve">currently </w:t>
      </w:r>
      <w:r w:rsidR="00625947">
        <w:t xml:space="preserve">covers code generation for single-cluster </w:t>
      </w:r>
      <w:r>
        <w:t xml:space="preserve">shared memory </w:t>
      </w:r>
      <w:r w:rsidR="00625947">
        <w:t>applications that communicate with their environme</w:t>
      </w:r>
      <w:r w:rsidR="007A07E8">
        <w:t>nt</w:t>
      </w:r>
      <w:r>
        <w:t xml:space="preserve"> (other clusters and/or the exterior of the chip)</w:t>
      </w:r>
      <w:r w:rsidR="007A07E8">
        <w:t>. The API</w:t>
      </w:r>
      <w:r w:rsidR="008D2E49">
        <w:t xml:space="preserve"> consists in only 8 primitives, presented as library functions</w:t>
      </w:r>
      <w:r w:rsidR="00625947">
        <w:t>:</w:t>
      </w:r>
    </w:p>
    <w:p w14:paraId="3A2F2054" w14:textId="752C6A4F" w:rsidR="00625947" w:rsidRDefault="00625947" w:rsidP="007A07E8">
      <w:pPr>
        <w:pStyle w:val="ITEABodyText"/>
        <w:numPr>
          <w:ilvl w:val="0"/>
          <w:numId w:val="32"/>
        </w:numPr>
      </w:pPr>
      <w:r>
        <w:t xml:space="preserve">Invalidation of instruction/data cache lines, and flush of data cache lines, </w:t>
      </w:r>
      <w:r w:rsidR="008D2E49">
        <w:t xml:space="preserve">both </w:t>
      </w:r>
      <w:r>
        <w:t>needed to ensure cache coherency.</w:t>
      </w:r>
    </w:p>
    <w:p w14:paraId="21DD0393" w14:textId="4FEA4DC7" w:rsidR="00625947" w:rsidRDefault="003A0A84" w:rsidP="007A07E8">
      <w:pPr>
        <w:pStyle w:val="ITEABodyText"/>
        <w:numPr>
          <w:ilvl w:val="0"/>
          <w:numId w:val="32"/>
        </w:numPr>
      </w:pPr>
      <w:r>
        <w:t>Global synchronization barrier, needed to ensure initial time synchronization of the processors in a cluster.</w:t>
      </w:r>
    </w:p>
    <w:p w14:paraId="36DEE822" w14:textId="7C401724" w:rsidR="00625947" w:rsidRDefault="00625947" w:rsidP="007A07E8">
      <w:pPr>
        <w:pStyle w:val="ITEABodyText"/>
        <w:numPr>
          <w:ilvl w:val="0"/>
          <w:numId w:val="32"/>
        </w:numPr>
      </w:pPr>
      <w:r>
        <w:t xml:space="preserve">Event-driven </w:t>
      </w:r>
      <w:r w:rsidR="003A0A84">
        <w:t xml:space="preserve">inter-processor </w:t>
      </w:r>
      <w:r>
        <w:t xml:space="preserve">synchronization using </w:t>
      </w:r>
      <w:r w:rsidR="007A07E8">
        <w:t>simplified binary semaphores (hardware locks)</w:t>
      </w:r>
      <w:r w:rsidR="003A0A84">
        <w:t>.</w:t>
      </w:r>
    </w:p>
    <w:p w14:paraId="12571D85" w14:textId="41C4B74A" w:rsidR="007A07E8" w:rsidRDefault="007A07E8" w:rsidP="007A07E8">
      <w:pPr>
        <w:pStyle w:val="ITEABodyText"/>
        <w:numPr>
          <w:ilvl w:val="0"/>
          <w:numId w:val="32"/>
        </w:numPr>
      </w:pPr>
      <w:r>
        <w:t>Time</w:t>
      </w:r>
      <w:r w:rsidR="00EE01E3">
        <w:t xml:space="preserve"> synchronization by waiting until a specific date (timer polling, not interrupt-based)</w:t>
      </w:r>
      <w:r w:rsidR="003A0A84">
        <w:t>.</w:t>
      </w:r>
    </w:p>
    <w:p w14:paraId="2BAB7207" w14:textId="67FDEA65" w:rsidR="007A07E8" w:rsidRDefault="007A07E8" w:rsidP="007A07E8">
      <w:pPr>
        <w:pStyle w:val="ITEABodyText"/>
        <w:numPr>
          <w:ilvl w:val="0"/>
          <w:numId w:val="32"/>
        </w:numPr>
      </w:pPr>
      <w:r>
        <w:t xml:space="preserve">DMA transfers </w:t>
      </w:r>
      <w:r w:rsidR="00EE01E3">
        <w:t xml:space="preserve">between the </w:t>
      </w:r>
      <w:r w:rsidR="003A0A84">
        <w:t xml:space="preserve">SRAM memory of the </w:t>
      </w:r>
      <w:r w:rsidR="00EE01E3">
        <w:t>computing cluster and its environment.</w:t>
      </w:r>
    </w:p>
    <w:p w14:paraId="6E25DCB1" w14:textId="0BAEA0F4" w:rsidR="003A0A84" w:rsidRDefault="003A0A84" w:rsidP="003A0A84">
      <w:pPr>
        <w:pStyle w:val="ITEABodyText"/>
      </w:pPr>
      <w:r>
        <w:lastRenderedPageBreak/>
        <w:t xml:space="preserve">In addition to the API primitives, </w:t>
      </w:r>
      <w:r w:rsidR="006D3AB9">
        <w:t xml:space="preserve">we also make </w:t>
      </w:r>
      <w:r w:rsidR="00687B4B">
        <w:t>assumptions on the form of the generated software. We assume that execution is non-preemptive, each processor running a single sequential thread.</w:t>
      </w:r>
    </w:p>
    <w:p w14:paraId="3E3F9313" w14:textId="77777777" w:rsidR="00503890" w:rsidRDefault="00503890" w:rsidP="00FF1E9C">
      <w:pPr>
        <w:pStyle w:val="ITEABodyText"/>
      </w:pPr>
    </w:p>
    <w:p w14:paraId="0561E98A" w14:textId="46B99849" w:rsidR="00140BFF" w:rsidRPr="00C72DD9" w:rsidRDefault="00FB1389" w:rsidP="00140BFF">
      <w:pPr>
        <w:pStyle w:val="ITEAHeading3"/>
      </w:pPr>
      <w:bookmarkStart w:id="31" w:name="_Toc398225052"/>
      <w:r w:rsidRPr="00C72DD9">
        <w:t xml:space="preserve">Calling conventions used in </w:t>
      </w:r>
      <w:r w:rsidR="00B95C51">
        <w:t>SCADE</w:t>
      </w:r>
      <w:r w:rsidR="00B17C1E" w:rsidRPr="00C72DD9">
        <w:t xml:space="preserve"> </w:t>
      </w:r>
      <w:r w:rsidR="0053704F">
        <w:t xml:space="preserve">KCG </w:t>
      </w:r>
      <w:r w:rsidR="00B17C1E" w:rsidRPr="00C72DD9">
        <w:t>code generation</w:t>
      </w:r>
      <w:bookmarkEnd w:id="31"/>
    </w:p>
    <w:p w14:paraId="532A96B8" w14:textId="77777777" w:rsidR="004E4D62" w:rsidRDefault="007E57E3" w:rsidP="007E57E3">
      <w:pPr>
        <w:pStyle w:val="ITEABodyText"/>
        <w:rPr>
          <w:color w:val="002060"/>
        </w:rPr>
      </w:pPr>
      <w:r w:rsidRPr="007E57E3">
        <w:rPr>
          <w:color w:val="002060"/>
        </w:rPr>
        <w:t xml:space="preserve">The developed prototype generates from an annotated Scade 6.6 model C code with tasks communicating through one-to-one channels. The main program runs the root operator of the Scade </w:t>
      </w:r>
      <w:r w:rsidR="001172BC">
        <w:rPr>
          <w:color w:val="002060"/>
        </w:rPr>
        <w:t>program</w:t>
      </w:r>
      <w:r w:rsidRPr="007E57E3">
        <w:rPr>
          <w:color w:val="002060"/>
        </w:rPr>
        <w:t xml:space="preserve">. It runs in parallel with </w:t>
      </w:r>
      <w:r w:rsidRPr="007E57E3">
        <w:rPr>
          <w:i/>
          <w:color w:val="002060"/>
        </w:rPr>
        <w:t>workers</w:t>
      </w:r>
      <w:r w:rsidRPr="007E57E3">
        <w:rPr>
          <w:color w:val="002060"/>
        </w:rPr>
        <w:t xml:space="preserve"> which repeat the following behaviour: </w:t>
      </w:r>
    </w:p>
    <w:p w14:paraId="23E4FCAB" w14:textId="77777777" w:rsidR="004E4D62" w:rsidRDefault="007E57E3" w:rsidP="007A07E8">
      <w:pPr>
        <w:pStyle w:val="ITEABodyText"/>
        <w:numPr>
          <w:ilvl w:val="0"/>
          <w:numId w:val="20"/>
        </w:numPr>
        <w:rPr>
          <w:color w:val="002060"/>
        </w:rPr>
      </w:pPr>
      <w:r w:rsidRPr="007E57E3">
        <w:rPr>
          <w:color w:val="002060"/>
        </w:rPr>
        <w:t xml:space="preserve">await a value on the input channel, </w:t>
      </w:r>
    </w:p>
    <w:p w14:paraId="22BDEE36" w14:textId="77777777" w:rsidR="004E4D62" w:rsidRDefault="007E57E3" w:rsidP="007A07E8">
      <w:pPr>
        <w:pStyle w:val="ITEABodyText"/>
        <w:numPr>
          <w:ilvl w:val="0"/>
          <w:numId w:val="20"/>
        </w:numPr>
        <w:rPr>
          <w:color w:val="002060"/>
        </w:rPr>
      </w:pPr>
      <w:r w:rsidRPr="007E57E3">
        <w:rPr>
          <w:color w:val="002060"/>
        </w:rPr>
        <w:t xml:space="preserve">execute a function </w:t>
      </w:r>
    </w:p>
    <w:p w14:paraId="6B684908" w14:textId="77777777" w:rsidR="007E57E3" w:rsidRPr="007E57E3" w:rsidRDefault="007E57E3" w:rsidP="007A07E8">
      <w:pPr>
        <w:pStyle w:val="ITEABodyText"/>
        <w:numPr>
          <w:ilvl w:val="0"/>
          <w:numId w:val="20"/>
        </w:numPr>
        <w:rPr>
          <w:color w:val="002060"/>
        </w:rPr>
      </w:pPr>
      <w:r w:rsidRPr="007E57E3">
        <w:rPr>
          <w:color w:val="002060"/>
        </w:rPr>
        <w:t>and then send the result to the output channel.</w:t>
      </w:r>
    </w:p>
    <w:p w14:paraId="1AC6B9AF" w14:textId="77777777" w:rsidR="007E57E3" w:rsidRPr="007E57E3" w:rsidRDefault="007E57E3" w:rsidP="007E57E3">
      <w:pPr>
        <w:pStyle w:val="ITEABodyText"/>
        <w:rPr>
          <w:color w:val="002060"/>
        </w:rPr>
      </w:pPr>
      <w:r w:rsidRPr="007E57E3">
        <w:rPr>
          <w:color w:val="002060"/>
        </w:rPr>
        <w:t>The parallelization of the Scade model is specified using special occurrenc</w:t>
      </w:r>
      <w:r w:rsidR="001172BC">
        <w:rPr>
          <w:color w:val="002060"/>
        </w:rPr>
        <w:t xml:space="preserve">es pragmas of the form </w:t>
      </w:r>
      <w:r w:rsidR="001172BC" w:rsidRPr="001172BC">
        <w:rPr>
          <w:rFonts w:ascii="Courier New" w:hAnsi="Courier New" w:cs="Courier New"/>
          <w:color w:val="002060"/>
        </w:rPr>
        <w:t>#par_nam</w:t>
      </w:r>
      <w:r w:rsidR="001172BC">
        <w:rPr>
          <w:rFonts w:ascii="Courier New" w:hAnsi="Courier New" w:cs="Courier New"/>
          <w:color w:val="002060"/>
        </w:rPr>
        <w:t>e</w:t>
      </w:r>
      <w:r w:rsidRPr="007E57E3">
        <w:rPr>
          <w:color w:val="002060"/>
        </w:rPr>
        <w:t xml:space="preserve">. All the operator calls with the same pragma are executed in parallel in fork-join parallelism. </w:t>
      </w:r>
    </w:p>
    <w:p w14:paraId="54CE3920" w14:textId="77777777" w:rsidR="007E57E3" w:rsidRPr="007E57E3" w:rsidRDefault="007E57E3" w:rsidP="007E57E3">
      <w:pPr>
        <w:pStyle w:val="ITEABodyText"/>
        <w:rPr>
          <w:color w:val="002060"/>
        </w:rPr>
      </w:pPr>
      <w:r w:rsidRPr="007E57E3">
        <w:rPr>
          <w:color w:val="002060"/>
        </w:rPr>
        <w:t>C code can be generated by running:</w:t>
      </w:r>
    </w:p>
    <w:p w14:paraId="06727691" w14:textId="77777777" w:rsidR="007E57E3" w:rsidRPr="007E57E3" w:rsidRDefault="007E57E3" w:rsidP="007E57E3">
      <w:pPr>
        <w:pStyle w:val="ITEABodyText"/>
        <w:pBdr>
          <w:top w:val="single" w:sz="4" w:space="1" w:color="auto"/>
          <w:left w:val="single" w:sz="4" w:space="4" w:color="auto"/>
          <w:bottom w:val="single" w:sz="4" w:space="1" w:color="auto"/>
          <w:right w:val="single" w:sz="4" w:space="4" w:color="auto"/>
        </w:pBdr>
        <w:rPr>
          <w:rFonts w:ascii="Courier New" w:hAnsi="Courier New" w:cs="Courier New"/>
          <w:color w:val="002060"/>
        </w:rPr>
      </w:pPr>
      <w:r w:rsidRPr="007E57E3">
        <w:rPr>
          <w:rFonts w:ascii="Courier New" w:hAnsi="Courier New" w:cs="Courier New"/>
          <w:color w:val="002060"/>
        </w:rPr>
        <w:t>&gt; kcg-task -root &lt;root node&gt; -target C &lt;List of xscade/xscade files&gt;</w:t>
      </w:r>
    </w:p>
    <w:p w14:paraId="703B4867" w14:textId="77777777" w:rsidR="007E57E3" w:rsidRPr="007E57E3" w:rsidRDefault="007E57E3" w:rsidP="007E57E3">
      <w:pPr>
        <w:pStyle w:val="ITEABodyText"/>
        <w:rPr>
          <w:color w:val="002060"/>
        </w:rPr>
      </w:pPr>
    </w:p>
    <w:p w14:paraId="2D558C4F" w14:textId="77777777" w:rsidR="007E57E3" w:rsidRDefault="007E57E3" w:rsidP="007E57E3">
      <w:pPr>
        <w:pStyle w:val="ITEABodyText"/>
        <w:rPr>
          <w:color w:val="002060"/>
        </w:rPr>
      </w:pPr>
      <w:r w:rsidRPr="007E57E3">
        <w:rPr>
          <w:color w:val="002060"/>
        </w:rPr>
        <w:t xml:space="preserve">The code generated for the root operator is the same as usual, except that the calls to </w:t>
      </w:r>
      <w:r w:rsidRPr="007E57E3">
        <w:rPr>
          <w:i/>
          <w:color w:val="002060"/>
        </w:rPr>
        <w:t>workers</w:t>
      </w:r>
      <w:r w:rsidRPr="007E57E3">
        <w:rPr>
          <w:color w:val="002060"/>
        </w:rPr>
        <w:t xml:space="preserve"> </w:t>
      </w:r>
      <w:r w:rsidR="00174CA3">
        <w:rPr>
          <w:color w:val="002060"/>
        </w:rPr>
        <w:t xml:space="preserve">are </w:t>
      </w:r>
      <w:r w:rsidRPr="007E57E3">
        <w:rPr>
          <w:color w:val="002060"/>
        </w:rPr>
        <w:t xml:space="preserve">replaced by macro calls to send the inputs and await the results on communication channels. </w:t>
      </w:r>
    </w:p>
    <w:p w14:paraId="45F473F6" w14:textId="77777777" w:rsidR="001172BC" w:rsidRPr="007E57E3" w:rsidRDefault="001172BC" w:rsidP="007E57E3">
      <w:pPr>
        <w:pStyle w:val="ITEABodyText"/>
        <w:rPr>
          <w:color w:val="002060"/>
        </w:rPr>
      </w:pPr>
      <w:r w:rsidRPr="007E57E3">
        <w:rPr>
          <w:color w:val="002060"/>
        </w:rPr>
        <w:t xml:space="preserve">The generated code uses macros defined in </w:t>
      </w:r>
      <w:r w:rsidRPr="001172BC">
        <w:rPr>
          <w:rFonts w:ascii="Courier New" w:hAnsi="Courier New" w:cs="Courier New"/>
          <w:color w:val="002060"/>
        </w:rPr>
        <w:t>kcg_channel.h</w:t>
      </w:r>
      <w:r w:rsidRPr="007E57E3">
        <w:rPr>
          <w:color w:val="002060"/>
        </w:rPr>
        <w:t>. It is thus independent from the target and from the allocation of workers to computation resources</w:t>
      </w:r>
      <w:r>
        <w:rPr>
          <w:color w:val="002060"/>
        </w:rPr>
        <w:t>.</w:t>
      </w:r>
    </w:p>
    <w:p w14:paraId="4E118639" w14:textId="77777777" w:rsidR="001172BC" w:rsidRPr="00B60969" w:rsidRDefault="001172BC" w:rsidP="005B3F15">
      <w:pPr>
        <w:pStyle w:val="ITEAHeading4"/>
      </w:pPr>
      <w:bookmarkStart w:id="32" w:name="_Toc398225053"/>
      <w:r w:rsidRPr="00B60969">
        <w:t>Input model annotations</w:t>
      </w:r>
      <w:bookmarkEnd w:id="32"/>
      <w:r w:rsidRPr="00B60969">
        <w:t xml:space="preserve"> </w:t>
      </w:r>
    </w:p>
    <w:p w14:paraId="11571B17" w14:textId="77777777" w:rsidR="001172BC" w:rsidRPr="001172BC" w:rsidRDefault="001172BC" w:rsidP="001172BC">
      <w:pPr>
        <w:pStyle w:val="ITEABodyText"/>
        <w:rPr>
          <w:color w:val="002060"/>
        </w:rPr>
      </w:pPr>
      <w:r w:rsidRPr="001172BC">
        <w:rPr>
          <w:color w:val="002060"/>
        </w:rPr>
        <w:t xml:space="preserve">The purpose of the annotations is to group several operator instances in one or several </w:t>
      </w:r>
      <w:r w:rsidRPr="001172BC">
        <w:rPr>
          <w:i/>
          <w:color w:val="002060"/>
        </w:rPr>
        <w:t>parallel subsets</w:t>
      </w:r>
      <w:r w:rsidRPr="001172BC">
        <w:rPr>
          <w:color w:val="002060"/>
        </w:rPr>
        <w:t>: each instance in a subset is executed in parallel. No dependencies are allowed between instances of the same subset, so that they can be executed in parallel. The causality analysis has been extended to raise an error if this is not the case.</w:t>
      </w:r>
    </w:p>
    <w:p w14:paraId="55B707C9" w14:textId="77777777" w:rsidR="001172BC" w:rsidRPr="001172BC" w:rsidRDefault="001172BC" w:rsidP="001172BC">
      <w:pPr>
        <w:pStyle w:val="ITEABodyText"/>
        <w:rPr>
          <w:color w:val="002060"/>
        </w:rPr>
      </w:pPr>
      <w:r w:rsidRPr="001172BC">
        <w:rPr>
          <w:color w:val="002060"/>
        </w:rPr>
        <w:t>Instances of the same subset can be put in different operators (if they end up in the same unexpanded operator). Parallel subsets can be nested: an operator in a parallel subset can itself contain another parallel subset.</w:t>
      </w:r>
    </w:p>
    <w:p w14:paraId="69B2A054" w14:textId="77777777" w:rsidR="001172BC" w:rsidRPr="001172BC" w:rsidRDefault="001172BC" w:rsidP="001172BC">
      <w:pPr>
        <w:pStyle w:val="ITEABodyText"/>
        <w:rPr>
          <w:color w:val="002060"/>
          <w:highlight w:val="yellow"/>
        </w:rPr>
      </w:pPr>
      <w:r w:rsidRPr="001172BC">
        <w:rPr>
          <w:color w:val="002060"/>
        </w:rPr>
        <w:t xml:space="preserve">The annotations are occurrence pragmas of the form </w:t>
      </w:r>
      <w:r w:rsidRPr="001172BC">
        <w:rPr>
          <w:rFonts w:ascii="Courier New" w:hAnsi="Courier New" w:cs="Courier New"/>
          <w:color w:val="002060"/>
        </w:rPr>
        <w:t>#par_name</w:t>
      </w:r>
      <w:r w:rsidRPr="001172BC">
        <w:rPr>
          <w:color w:val="002060"/>
        </w:rPr>
        <w:t xml:space="preserve">, where </w:t>
      </w:r>
      <w:r w:rsidRPr="001172BC">
        <w:rPr>
          <w:rFonts w:ascii="Courier New" w:hAnsi="Courier New" w:cs="Courier New"/>
          <w:color w:val="002060"/>
        </w:rPr>
        <w:t>name</w:t>
      </w:r>
      <w:r w:rsidRPr="001172BC">
        <w:rPr>
          <w:color w:val="002060"/>
        </w:rPr>
        <w:t xml:space="preserve"> is the name of the parallel subset. </w:t>
      </w:r>
      <w:r w:rsidRPr="001172BC">
        <w:rPr>
          <w:rFonts w:ascii="Courier New" w:hAnsi="Courier New" w:cs="Courier New"/>
          <w:color w:val="002060"/>
        </w:rPr>
        <w:t>#par</w:t>
      </w:r>
      <w:r w:rsidRPr="001172BC">
        <w:rPr>
          <w:color w:val="002060"/>
        </w:rPr>
        <w:t xml:space="preserve"> pragmas can also be put on </w:t>
      </w:r>
      <w:r w:rsidRPr="001172BC">
        <w:rPr>
          <w:rFonts w:ascii="Courier New" w:hAnsi="Courier New" w:cs="Courier New"/>
          <w:color w:val="002060"/>
        </w:rPr>
        <w:t>map</w:t>
      </w:r>
      <w:r w:rsidRPr="001172BC">
        <w:rPr>
          <w:color w:val="002060"/>
        </w:rPr>
        <w:t xml:space="preserve"> or </w:t>
      </w:r>
      <w:r w:rsidRPr="001172BC">
        <w:rPr>
          <w:rFonts w:ascii="Courier New" w:hAnsi="Courier New" w:cs="Courier New"/>
          <w:color w:val="002060"/>
        </w:rPr>
        <w:t>mapi</w:t>
      </w:r>
      <w:r w:rsidRPr="001172BC">
        <w:rPr>
          <w:color w:val="002060"/>
        </w:rPr>
        <w:t xml:space="preserve"> iterators. In that case, one worker will be created for each instance of the iterated operator.</w:t>
      </w:r>
    </w:p>
    <w:p w14:paraId="04BDAF74" w14:textId="174BDC1F" w:rsidR="001172BC" w:rsidRPr="001172BC" w:rsidRDefault="001172BC" w:rsidP="001172BC">
      <w:pPr>
        <w:rPr>
          <w:color w:val="002060"/>
        </w:rPr>
      </w:pPr>
      <w:r w:rsidRPr="001172BC">
        <w:rPr>
          <w:color w:val="002060"/>
        </w:rPr>
        <w:t>It is possible to provide the annotations from an external file</w:t>
      </w:r>
      <w:r w:rsidR="00B60969">
        <w:rPr>
          <w:color w:val="002060"/>
        </w:rPr>
        <w:t xml:space="preserve"> (named “</w:t>
      </w:r>
      <w:r w:rsidR="00B60969" w:rsidRPr="00B60969">
        <w:rPr>
          <w:color w:val="002060"/>
        </w:rPr>
        <w:t xml:space="preserve">Partitioning Information” in </w:t>
      </w:r>
      <w:r w:rsidR="00A03B68">
        <w:fldChar w:fldCharType="begin"/>
      </w:r>
      <w:r w:rsidR="00A03B68">
        <w:instrText xml:space="preserve"> REF _Ref470092077 \h  \* MERGEFORMAT </w:instrText>
      </w:r>
      <w:r w:rsidR="00A03B68">
        <w:fldChar w:fldCharType="separate"/>
      </w:r>
      <w:r w:rsidR="00E827D1" w:rsidRPr="00000EDB">
        <w:rPr>
          <w:color w:val="002060"/>
        </w:rPr>
        <w:t xml:space="preserve">Figure </w:t>
      </w:r>
      <w:r w:rsidR="00A03B68">
        <w:fldChar w:fldCharType="end"/>
      </w:r>
      <w:r w:rsidR="00B60969" w:rsidRPr="00B60969">
        <w:rPr>
          <w:color w:val="002060"/>
        </w:rPr>
        <w:t>)</w:t>
      </w:r>
      <w:r w:rsidRPr="00B60969">
        <w:rPr>
          <w:color w:val="002060"/>
        </w:rPr>
        <w:t xml:space="preserve">, given with the </w:t>
      </w:r>
      <w:r w:rsidR="00190031" w:rsidRPr="00B60969">
        <w:rPr>
          <w:rFonts w:ascii="Courier New" w:hAnsi="Courier New" w:cs="Courier New"/>
          <w:color w:val="002060"/>
        </w:rPr>
        <w:t>-pragma_file</w:t>
      </w:r>
      <w:r w:rsidRPr="00B60969">
        <w:rPr>
          <w:color w:val="002060"/>
        </w:rPr>
        <w:t xml:space="preserve"> command-line option. It can be used to provide any pragma, including </w:t>
      </w:r>
      <w:r w:rsidRPr="00B60969">
        <w:rPr>
          <w:rFonts w:ascii="Courier New" w:hAnsi="Courier New" w:cs="Courier New"/>
          <w:color w:val="002060"/>
        </w:rPr>
        <w:t>par</w:t>
      </w:r>
      <w:r w:rsidRPr="00B60969">
        <w:rPr>
          <w:color w:val="002060"/>
        </w:rPr>
        <w:t xml:space="preserve"> pragmas. This file should contain lines of the form </w:t>
      </w:r>
      <w:r w:rsidRPr="00B60969">
        <w:rPr>
          <w:rFonts w:ascii="Courier New" w:hAnsi="Courier New" w:cs="Courier New"/>
          <w:color w:val="002060"/>
        </w:rPr>
        <w:t>&lt;pragmas&gt; &lt;model_path&gt;</w:t>
      </w:r>
      <w:r w:rsidRPr="00B60969">
        <w:rPr>
          <w:color w:val="002060"/>
        </w:rPr>
        <w:t xml:space="preserve"> where </w:t>
      </w:r>
      <w:r w:rsidRPr="00B60969">
        <w:rPr>
          <w:rFonts w:ascii="Courier New" w:hAnsi="Courier New" w:cs="Courier New"/>
          <w:color w:val="002060"/>
        </w:rPr>
        <w:t>&lt;pragmas&gt;</w:t>
      </w:r>
      <w:r w:rsidRPr="00B60969">
        <w:rPr>
          <w:color w:val="002060"/>
        </w:rPr>
        <w:t xml:space="preserve"> is a list of pragmas and </w:t>
      </w:r>
      <w:r w:rsidR="00190031" w:rsidRPr="00B60969">
        <w:rPr>
          <w:rFonts w:ascii="Courier New" w:hAnsi="Courier New" w:cs="Courier New"/>
          <w:color w:val="002060"/>
        </w:rPr>
        <w:t>&lt;model_path&gt;</w:t>
      </w:r>
      <w:r w:rsidRPr="00B60969">
        <w:rPr>
          <w:color w:val="002060"/>
        </w:rPr>
        <w:t xml:space="preserve"> is the path of an element in the model. The syntax of pragmas</w:t>
      </w:r>
      <w:r w:rsidRPr="001172BC">
        <w:rPr>
          <w:color w:val="002060"/>
        </w:rPr>
        <w:t xml:space="preserve"> and model path is given in </w:t>
      </w:r>
      <w:r w:rsidR="001E7785">
        <w:rPr>
          <w:color w:val="002060"/>
        </w:rPr>
        <w:t>ESTEREL TECHNOLOGIES</w:t>
      </w:r>
      <w:r w:rsidR="009F4110">
        <w:rPr>
          <w:color w:val="002060"/>
        </w:rPr>
        <w:t xml:space="preserve"> SCADE </w:t>
      </w:r>
      <w:r w:rsidRPr="001172BC">
        <w:rPr>
          <w:color w:val="002060"/>
        </w:rPr>
        <w:t>KCG Tool Operational Requirements.</w:t>
      </w:r>
    </w:p>
    <w:p w14:paraId="7C00AF0F" w14:textId="77777777" w:rsidR="001172BC" w:rsidRPr="001172BC" w:rsidRDefault="001172BC" w:rsidP="001172BC">
      <w:pPr>
        <w:rPr>
          <w:color w:val="002060"/>
        </w:rPr>
      </w:pPr>
    </w:p>
    <w:p w14:paraId="4148BBF3" w14:textId="77777777" w:rsidR="001172BC" w:rsidRPr="001172BC" w:rsidRDefault="00190031" w:rsidP="001172BC">
      <w:pPr>
        <w:rPr>
          <w:color w:val="002060"/>
        </w:rPr>
      </w:pPr>
      <w:r>
        <w:rPr>
          <w:color w:val="002060"/>
        </w:rPr>
        <w:t>Example of external annotation file</w:t>
      </w:r>
      <w:r w:rsidR="001172BC" w:rsidRPr="001172BC">
        <w:rPr>
          <w:color w:val="002060"/>
        </w:rPr>
        <w:t>:</w:t>
      </w:r>
    </w:p>
    <w:p w14:paraId="1E5F2987" w14:textId="77777777" w:rsidR="001172BC" w:rsidRPr="001172BC" w:rsidRDefault="001172BC" w:rsidP="001172BC">
      <w:pPr>
        <w:pBdr>
          <w:top w:val="single" w:sz="4" w:space="1" w:color="auto"/>
          <w:left w:val="single" w:sz="4" w:space="4" w:color="auto"/>
          <w:bottom w:val="single" w:sz="4" w:space="1" w:color="auto"/>
          <w:right w:val="single" w:sz="4" w:space="4" w:color="auto"/>
        </w:pBdr>
        <w:rPr>
          <w:rFonts w:ascii="Courier New" w:hAnsi="Courier New" w:cs="Courier New"/>
          <w:lang w:val="fr-FR"/>
        </w:rPr>
      </w:pPr>
      <w:r w:rsidRPr="001172BC">
        <w:rPr>
          <w:rFonts w:ascii="Courier New" w:hAnsi="Courier New" w:cs="Courier New"/>
          <w:lang w:val="fr-FR"/>
        </w:rPr>
        <w:t>```</w:t>
      </w:r>
    </w:p>
    <w:p w14:paraId="43C8E820" w14:textId="77777777" w:rsidR="001172BC" w:rsidRPr="001172BC" w:rsidRDefault="001172BC" w:rsidP="001172BC">
      <w:pPr>
        <w:pBdr>
          <w:top w:val="single" w:sz="4" w:space="1" w:color="auto"/>
          <w:left w:val="single" w:sz="4" w:space="4" w:color="auto"/>
          <w:bottom w:val="single" w:sz="4" w:space="1" w:color="auto"/>
          <w:right w:val="single" w:sz="4" w:space="4" w:color="auto"/>
        </w:pBdr>
        <w:rPr>
          <w:rFonts w:ascii="Courier New" w:hAnsi="Courier New" w:cs="Courier New"/>
          <w:lang w:val="fr-FR"/>
        </w:rPr>
      </w:pPr>
      <w:r w:rsidRPr="001172BC">
        <w:rPr>
          <w:rFonts w:ascii="Courier New" w:hAnsi="Courier New" w:cs="Courier New"/>
          <w:lang w:val="fr-FR"/>
        </w:rPr>
        <w:t>#par_1 root/(</w:t>
      </w:r>
      <w:r w:rsidR="00190031">
        <w:rPr>
          <w:rFonts w:ascii="Courier New" w:hAnsi="Courier New" w:cs="Courier New"/>
          <w:lang w:val="fr-FR"/>
        </w:rPr>
        <w:t>node1</w:t>
      </w:r>
      <w:r w:rsidRPr="001172BC">
        <w:rPr>
          <w:rFonts w:ascii="Courier New" w:hAnsi="Courier New" w:cs="Courier New"/>
          <w:lang w:val="fr-FR"/>
        </w:rPr>
        <w:t>)</w:t>
      </w:r>
    </w:p>
    <w:p w14:paraId="0D7DE36D" w14:textId="77777777" w:rsidR="001172BC" w:rsidRPr="001172BC" w:rsidRDefault="001172BC" w:rsidP="001172BC">
      <w:pPr>
        <w:pBdr>
          <w:top w:val="single" w:sz="4" w:space="1" w:color="auto"/>
          <w:left w:val="single" w:sz="4" w:space="4" w:color="auto"/>
          <w:bottom w:val="single" w:sz="4" w:space="1" w:color="auto"/>
          <w:right w:val="single" w:sz="4" w:space="4" w:color="auto"/>
        </w:pBdr>
        <w:rPr>
          <w:rFonts w:ascii="Courier New" w:hAnsi="Courier New" w:cs="Courier New"/>
          <w:lang w:val="fr-FR"/>
        </w:rPr>
      </w:pPr>
      <w:r w:rsidRPr="001172BC">
        <w:rPr>
          <w:rFonts w:ascii="Courier New" w:hAnsi="Courier New" w:cs="Courier New"/>
          <w:lang w:val="fr-FR"/>
        </w:rPr>
        <w:t>#par_1 root/(N</w:t>
      </w:r>
      <w:r w:rsidR="00190031">
        <w:rPr>
          <w:rFonts w:ascii="Courier New" w:hAnsi="Courier New" w:cs="Courier New"/>
          <w:lang w:val="fr-FR"/>
        </w:rPr>
        <w:t>ode2</w:t>
      </w:r>
      <w:r w:rsidRPr="001172BC">
        <w:rPr>
          <w:rFonts w:ascii="Courier New" w:hAnsi="Courier New" w:cs="Courier New"/>
          <w:lang w:val="fr-FR"/>
        </w:rPr>
        <w:t>)</w:t>
      </w:r>
    </w:p>
    <w:p w14:paraId="318A913C" w14:textId="77777777" w:rsidR="001172BC" w:rsidRPr="00762800" w:rsidRDefault="001172BC" w:rsidP="001172BC">
      <w:pPr>
        <w:pBdr>
          <w:top w:val="single" w:sz="4" w:space="1" w:color="auto"/>
          <w:left w:val="single" w:sz="4" w:space="4" w:color="auto"/>
          <w:bottom w:val="single" w:sz="4" w:space="1" w:color="auto"/>
          <w:right w:val="single" w:sz="4" w:space="4" w:color="auto"/>
        </w:pBdr>
        <w:rPr>
          <w:rFonts w:ascii="Courier New" w:hAnsi="Courier New" w:cs="Courier New"/>
        </w:rPr>
      </w:pPr>
      <w:r w:rsidRPr="00762800">
        <w:rPr>
          <w:rFonts w:ascii="Courier New" w:hAnsi="Courier New" w:cs="Courier New"/>
        </w:rPr>
        <w:t>```</w:t>
      </w:r>
    </w:p>
    <w:p w14:paraId="2BF26CF6" w14:textId="77777777" w:rsidR="001172BC" w:rsidRDefault="001172BC" w:rsidP="001172BC"/>
    <w:p w14:paraId="0E4ADBC2" w14:textId="77777777" w:rsidR="001172BC" w:rsidRPr="001172BC" w:rsidRDefault="001172BC" w:rsidP="001172BC">
      <w:pPr>
        <w:rPr>
          <w:color w:val="002060"/>
        </w:rPr>
      </w:pPr>
      <w:r w:rsidRPr="001172BC">
        <w:rPr>
          <w:color w:val="002060"/>
        </w:rPr>
        <w:t xml:space="preserve">Instances can also be described </w:t>
      </w:r>
      <w:r w:rsidR="00190031">
        <w:rPr>
          <w:color w:val="002060"/>
        </w:rPr>
        <w:t xml:space="preserve">using their instance name (eg. </w:t>
      </w:r>
      <w:r w:rsidRPr="00190031">
        <w:rPr>
          <w:rFonts w:ascii="Courier New" w:hAnsi="Courier New" w:cs="Courier New"/>
          <w:color w:val="002060"/>
        </w:rPr>
        <w:t>(#bla)</w:t>
      </w:r>
      <w:r w:rsidRPr="001172BC">
        <w:rPr>
          <w:color w:val="002060"/>
        </w:rPr>
        <w:t>) or both the op</w:t>
      </w:r>
      <w:r w:rsidR="00190031">
        <w:rPr>
          <w:color w:val="002060"/>
        </w:rPr>
        <w:t>erator path and instance name (</w:t>
      </w:r>
      <w:r w:rsidRPr="00190031">
        <w:rPr>
          <w:rFonts w:ascii="Courier New" w:hAnsi="Courier New" w:cs="Courier New"/>
          <w:color w:val="002060"/>
        </w:rPr>
        <w:t>(N#1)</w:t>
      </w:r>
      <w:r w:rsidR="00190031">
        <w:rPr>
          <w:color w:val="002060"/>
        </w:rPr>
        <w:t>)</w:t>
      </w:r>
      <w:r w:rsidRPr="001172BC">
        <w:rPr>
          <w:color w:val="002060"/>
        </w:rPr>
        <w:t>. The pragmas are attached to all instances matching the path.</w:t>
      </w:r>
    </w:p>
    <w:p w14:paraId="68DD5267" w14:textId="77777777" w:rsidR="001172BC" w:rsidRDefault="001172BC" w:rsidP="001172BC">
      <w:pPr>
        <w:pStyle w:val="ITEABodyText"/>
        <w:rPr>
          <w:highlight w:val="yellow"/>
        </w:rPr>
      </w:pPr>
    </w:p>
    <w:p w14:paraId="0DAF2AB7" w14:textId="77777777" w:rsidR="00295C0F" w:rsidRPr="00B60969" w:rsidRDefault="00295C0F" w:rsidP="005B3F15">
      <w:pPr>
        <w:pStyle w:val="ITEAHeading4"/>
      </w:pPr>
      <w:bookmarkStart w:id="33" w:name="_Toc398225054"/>
      <w:r w:rsidRPr="00B60969">
        <w:lastRenderedPageBreak/>
        <w:t>Communication primitives</w:t>
      </w:r>
      <w:bookmarkEnd w:id="33"/>
    </w:p>
    <w:p w14:paraId="1406542C" w14:textId="77777777" w:rsidR="00295C0F" w:rsidRPr="00295C0F" w:rsidRDefault="00295C0F" w:rsidP="00295C0F">
      <w:pPr>
        <w:pStyle w:val="ITEABodyText"/>
        <w:rPr>
          <w:color w:val="002060"/>
        </w:rPr>
      </w:pPr>
      <w:r w:rsidRPr="00295C0F">
        <w:rPr>
          <w:color w:val="002060"/>
        </w:rPr>
        <w:t xml:space="preserve">Communication is abstracted using macros, which are defined in the </w:t>
      </w:r>
      <w:r w:rsidRPr="00295C0F">
        <w:rPr>
          <w:rFonts w:ascii="Courier New" w:hAnsi="Courier New" w:cs="Courier New"/>
          <w:color w:val="002060"/>
        </w:rPr>
        <w:t>kcg_channel.h</w:t>
      </w:r>
      <w:r w:rsidRPr="00295C0F">
        <w:rPr>
          <w:color w:val="002060"/>
        </w:rPr>
        <w:t xml:space="preserve"> file, which has to be provided by the user. A channel is a structure with several fields containing the values carried by the channel and a field called </w:t>
      </w:r>
      <w:r w:rsidRPr="00295C0F">
        <w:rPr>
          <w:rFonts w:ascii="Courier New" w:hAnsi="Courier New" w:cs="Courier New"/>
          <w:color w:val="002060"/>
        </w:rPr>
        <w:t>data</w:t>
      </w:r>
      <w:r w:rsidRPr="00295C0F">
        <w:rPr>
          <w:color w:val="002060"/>
        </w:rPr>
        <w:t xml:space="preserve"> of type </w:t>
      </w:r>
      <w:r w:rsidRPr="00295C0F">
        <w:rPr>
          <w:rFonts w:ascii="Courier New" w:hAnsi="Courier New" w:cs="Courier New"/>
          <w:color w:val="002060"/>
        </w:rPr>
        <w:t>kcg_channel_data</w:t>
      </w:r>
      <w:r w:rsidRPr="00295C0F">
        <w:rPr>
          <w:color w:val="002060"/>
        </w:rPr>
        <w:t xml:space="preserve"> type, which should be defined in </w:t>
      </w:r>
      <w:r w:rsidRPr="00295C0F">
        <w:rPr>
          <w:rFonts w:ascii="Courier New" w:hAnsi="Courier New" w:cs="Courier New"/>
          <w:color w:val="002060"/>
        </w:rPr>
        <w:t>kcg_channel.h</w:t>
      </w:r>
      <w:r w:rsidRPr="00295C0F">
        <w:rPr>
          <w:color w:val="002060"/>
        </w:rPr>
        <w:t>`.</w:t>
      </w:r>
    </w:p>
    <w:p w14:paraId="51D7DD79" w14:textId="77777777" w:rsidR="004706F5" w:rsidRDefault="004706F5" w:rsidP="00295C0F">
      <w:pPr>
        <w:pStyle w:val="ITEABodyText"/>
        <w:rPr>
          <w:color w:val="002060"/>
        </w:rPr>
      </w:pPr>
      <w:r>
        <w:rPr>
          <w:color w:val="002060"/>
        </w:rPr>
        <w:t>User must</w:t>
      </w:r>
      <w:r w:rsidR="00295C0F" w:rsidRPr="00295C0F">
        <w:rPr>
          <w:color w:val="002060"/>
        </w:rPr>
        <w:t xml:space="preserve"> </w:t>
      </w:r>
      <w:r>
        <w:rPr>
          <w:color w:val="002060"/>
        </w:rPr>
        <w:t xml:space="preserve">define the </w:t>
      </w:r>
      <w:r w:rsidR="00295C0F" w:rsidRPr="004706F5">
        <w:rPr>
          <w:rFonts w:ascii="Courier New" w:hAnsi="Courier New" w:cs="Courier New"/>
          <w:color w:val="002060"/>
        </w:rPr>
        <w:t>KCG_CHANNEL_RECV</w:t>
      </w:r>
      <w:r>
        <w:rPr>
          <w:color w:val="002060"/>
        </w:rPr>
        <w:t xml:space="preserve"> and </w:t>
      </w:r>
      <w:r w:rsidR="00295C0F" w:rsidRPr="004706F5">
        <w:rPr>
          <w:rFonts w:ascii="Courier New" w:hAnsi="Courier New" w:cs="Courier New"/>
          <w:color w:val="002060"/>
        </w:rPr>
        <w:t>KCG_CHANNEL_SEND</w:t>
      </w:r>
      <w:r>
        <w:rPr>
          <w:color w:val="002060"/>
        </w:rPr>
        <w:t xml:space="preserve"> </w:t>
      </w:r>
      <w:r w:rsidR="00295C0F" w:rsidRPr="00295C0F">
        <w:rPr>
          <w:color w:val="002060"/>
        </w:rPr>
        <w:t xml:space="preserve">macros. The generated code first writes to the fields of the channel and then calls </w:t>
      </w:r>
      <w:r w:rsidR="00295C0F" w:rsidRPr="004706F5">
        <w:rPr>
          <w:rFonts w:ascii="Courier New" w:hAnsi="Courier New" w:cs="Courier New"/>
          <w:color w:val="002060"/>
        </w:rPr>
        <w:t>KCG_CHANNEL_SEND</w:t>
      </w:r>
      <w:r w:rsidR="00295C0F" w:rsidRPr="00295C0F">
        <w:rPr>
          <w:color w:val="002060"/>
        </w:rPr>
        <w:t xml:space="preserve"> to signal that values are ready. Conversely, it first calls </w:t>
      </w:r>
      <w:r w:rsidR="00295C0F" w:rsidRPr="004706F5">
        <w:rPr>
          <w:rFonts w:ascii="Courier New" w:hAnsi="Courier New" w:cs="Courier New"/>
          <w:color w:val="002060"/>
        </w:rPr>
        <w:t>KCG_CHANNEL_RECV</w:t>
      </w:r>
      <w:r w:rsidR="00295C0F" w:rsidRPr="00295C0F">
        <w:rPr>
          <w:color w:val="002060"/>
        </w:rPr>
        <w:t xml:space="preserve"> to await values and then reads the fields of the channel. </w:t>
      </w:r>
    </w:p>
    <w:p w14:paraId="61583B5A" w14:textId="77777777" w:rsidR="004706F5" w:rsidRDefault="004706F5" w:rsidP="00295C0F">
      <w:pPr>
        <w:pStyle w:val="ITEABodyText"/>
        <w:rPr>
          <w:color w:val="002060"/>
        </w:rPr>
      </w:pPr>
      <w:r>
        <w:rPr>
          <w:color w:val="002060"/>
        </w:rPr>
        <w:t xml:space="preserve">Example of generated code for a </w:t>
      </w:r>
      <w:r w:rsidRPr="004706F5">
        <w:rPr>
          <w:i/>
          <w:color w:val="002060"/>
        </w:rPr>
        <w:t>root</w:t>
      </w:r>
      <w:r>
        <w:rPr>
          <w:color w:val="002060"/>
        </w:rPr>
        <w:t xml:space="preserve"> operator</w:t>
      </w:r>
    </w:p>
    <w:p w14:paraId="10E9E814" w14:textId="77777777" w:rsidR="004706F5" w:rsidRPr="00A87ACA" w:rsidRDefault="004706F5" w:rsidP="004706F5">
      <w:pPr>
        <w:pBdr>
          <w:top w:val="single" w:sz="4" w:space="1" w:color="auto"/>
          <w:left w:val="single" w:sz="4" w:space="4" w:color="auto"/>
          <w:bottom w:val="single" w:sz="4" w:space="1" w:color="auto"/>
          <w:right w:val="single" w:sz="4" w:space="4" w:color="auto"/>
        </w:pBdr>
        <w:rPr>
          <w:rFonts w:ascii="Courier New" w:hAnsi="Courier New" w:cs="Courier New"/>
        </w:rPr>
      </w:pPr>
      <w:r w:rsidRPr="00A87ACA">
        <w:rPr>
          <w:rFonts w:ascii="Courier New" w:hAnsi="Courier New" w:cs="Courier New"/>
        </w:rPr>
        <w:t>void root(inC_root *inC, outC_root *outC)</w:t>
      </w:r>
    </w:p>
    <w:p w14:paraId="78790ED2" w14:textId="77777777" w:rsidR="004706F5" w:rsidRPr="00A87ACA" w:rsidRDefault="004706F5" w:rsidP="004706F5">
      <w:pPr>
        <w:pBdr>
          <w:top w:val="single" w:sz="4" w:space="1" w:color="auto"/>
          <w:left w:val="single" w:sz="4" w:space="4" w:color="auto"/>
          <w:bottom w:val="single" w:sz="4" w:space="1" w:color="auto"/>
          <w:right w:val="single" w:sz="4" w:space="4" w:color="auto"/>
        </w:pBdr>
        <w:rPr>
          <w:rFonts w:ascii="Courier New" w:hAnsi="Courier New" w:cs="Courier New"/>
        </w:rPr>
      </w:pPr>
      <w:r w:rsidRPr="00A87ACA">
        <w:rPr>
          <w:rFonts w:ascii="Courier New" w:hAnsi="Courier New" w:cs="Courier New"/>
        </w:rPr>
        <w:t>{</w:t>
      </w:r>
    </w:p>
    <w:p w14:paraId="573A7A09" w14:textId="77777777" w:rsidR="004706F5" w:rsidRPr="00A87ACA" w:rsidRDefault="004706F5" w:rsidP="004706F5">
      <w:pPr>
        <w:pBdr>
          <w:top w:val="single" w:sz="4" w:space="1" w:color="auto"/>
          <w:left w:val="single" w:sz="4" w:space="4" w:color="auto"/>
          <w:bottom w:val="single" w:sz="4" w:space="1" w:color="auto"/>
          <w:right w:val="single" w:sz="4" w:space="4" w:color="auto"/>
        </w:pBdr>
        <w:rPr>
          <w:rFonts w:ascii="Courier New" w:hAnsi="Courier New" w:cs="Courier New"/>
        </w:rPr>
      </w:pPr>
      <w:r w:rsidRPr="00A87ACA">
        <w:rPr>
          <w:rFonts w:ascii="Courier New" w:hAnsi="Courier New" w:cs="Courier New"/>
        </w:rPr>
        <w:t xml:space="preserve">  N1_in_ch.i1 = inC-&gt;i1 - kcg_lit_int32(1);</w:t>
      </w:r>
    </w:p>
    <w:p w14:paraId="79688CE6" w14:textId="77777777" w:rsidR="004706F5" w:rsidRPr="00A87ACA" w:rsidRDefault="004706F5" w:rsidP="004706F5">
      <w:pPr>
        <w:pBdr>
          <w:top w:val="single" w:sz="4" w:space="1" w:color="auto"/>
          <w:left w:val="single" w:sz="4" w:space="4" w:color="auto"/>
          <w:bottom w:val="single" w:sz="4" w:space="1" w:color="auto"/>
          <w:right w:val="single" w:sz="4" w:space="4" w:color="auto"/>
        </w:pBdr>
        <w:rPr>
          <w:rFonts w:ascii="Courier New" w:hAnsi="Courier New" w:cs="Courier New"/>
        </w:rPr>
      </w:pPr>
      <w:r w:rsidRPr="00A87ACA">
        <w:rPr>
          <w:rFonts w:ascii="Courier New" w:hAnsi="Courier New" w:cs="Courier New"/>
        </w:rPr>
        <w:t xml:space="preserve">  KCG_CHANNEL_SEND_N1_in_ch(N1_in_ch);</w:t>
      </w:r>
    </w:p>
    <w:p w14:paraId="3AF24765" w14:textId="77777777" w:rsidR="004706F5" w:rsidRPr="00A87ACA" w:rsidRDefault="004706F5" w:rsidP="004706F5">
      <w:pPr>
        <w:pBdr>
          <w:top w:val="single" w:sz="4" w:space="1" w:color="auto"/>
          <w:left w:val="single" w:sz="4" w:space="4" w:color="auto"/>
          <w:bottom w:val="single" w:sz="4" w:space="1" w:color="auto"/>
          <w:right w:val="single" w:sz="4" w:space="4" w:color="auto"/>
        </w:pBdr>
        <w:rPr>
          <w:rFonts w:ascii="Courier New" w:hAnsi="Courier New" w:cs="Courier New"/>
        </w:rPr>
      </w:pPr>
      <w:r w:rsidRPr="00A87ACA">
        <w:rPr>
          <w:rFonts w:ascii="Courier New" w:hAnsi="Courier New" w:cs="Courier New"/>
        </w:rPr>
        <w:t xml:space="preserve">  F1_in_ch.i1 = inC-&gt;i2 * inC-&gt;i2;</w:t>
      </w:r>
    </w:p>
    <w:p w14:paraId="7BA9C0A2" w14:textId="77777777" w:rsidR="004706F5" w:rsidRPr="00A87ACA" w:rsidRDefault="004706F5" w:rsidP="004706F5">
      <w:pPr>
        <w:pBdr>
          <w:top w:val="single" w:sz="4" w:space="1" w:color="auto"/>
          <w:left w:val="single" w:sz="4" w:space="4" w:color="auto"/>
          <w:bottom w:val="single" w:sz="4" w:space="1" w:color="auto"/>
          <w:right w:val="single" w:sz="4" w:space="4" w:color="auto"/>
        </w:pBdr>
        <w:rPr>
          <w:rFonts w:ascii="Courier New" w:hAnsi="Courier New" w:cs="Courier New"/>
        </w:rPr>
      </w:pPr>
      <w:r w:rsidRPr="00A87ACA">
        <w:rPr>
          <w:rFonts w:ascii="Courier New" w:hAnsi="Courier New" w:cs="Courier New"/>
        </w:rPr>
        <w:t xml:space="preserve">  KCG_CHANNEL_SEND_F1_in_ch(F1_in_ch);</w:t>
      </w:r>
    </w:p>
    <w:p w14:paraId="3A5009FA" w14:textId="77777777" w:rsidR="004706F5" w:rsidRPr="00A87ACA" w:rsidRDefault="004706F5" w:rsidP="004706F5">
      <w:pPr>
        <w:pBdr>
          <w:top w:val="single" w:sz="4" w:space="1" w:color="auto"/>
          <w:left w:val="single" w:sz="4" w:space="4" w:color="auto"/>
          <w:bottom w:val="single" w:sz="4" w:space="1" w:color="auto"/>
          <w:right w:val="single" w:sz="4" w:space="4" w:color="auto"/>
        </w:pBdr>
        <w:rPr>
          <w:rFonts w:ascii="Courier New" w:hAnsi="Courier New" w:cs="Courier New"/>
        </w:rPr>
      </w:pPr>
      <w:r w:rsidRPr="00A87ACA">
        <w:rPr>
          <w:rFonts w:ascii="Courier New" w:hAnsi="Courier New" w:cs="Courier New"/>
        </w:rPr>
        <w:t xml:space="preserve">  KCG_CHANNEL_RECV_N1_out_ch(N1_out_ch);</w:t>
      </w:r>
    </w:p>
    <w:p w14:paraId="2B9B90DE" w14:textId="77777777" w:rsidR="004706F5" w:rsidRPr="00A87ACA" w:rsidRDefault="004706F5" w:rsidP="004706F5">
      <w:pPr>
        <w:pBdr>
          <w:top w:val="single" w:sz="4" w:space="1" w:color="auto"/>
          <w:left w:val="single" w:sz="4" w:space="4" w:color="auto"/>
          <w:bottom w:val="single" w:sz="4" w:space="1" w:color="auto"/>
          <w:right w:val="single" w:sz="4" w:space="4" w:color="auto"/>
        </w:pBdr>
        <w:rPr>
          <w:rFonts w:ascii="Courier New" w:hAnsi="Courier New" w:cs="Courier New"/>
        </w:rPr>
      </w:pPr>
      <w:r w:rsidRPr="00A87ACA">
        <w:rPr>
          <w:rFonts w:ascii="Courier New" w:hAnsi="Courier New" w:cs="Courier New"/>
        </w:rPr>
        <w:t xml:space="preserve">  KCG_CHANNEL_RECV_F1_out_ch(F1_out_ch);</w:t>
      </w:r>
    </w:p>
    <w:p w14:paraId="0A114E59" w14:textId="77777777" w:rsidR="004706F5" w:rsidRPr="00A87ACA" w:rsidRDefault="004706F5" w:rsidP="004706F5">
      <w:pPr>
        <w:pBdr>
          <w:top w:val="single" w:sz="4" w:space="1" w:color="auto"/>
          <w:left w:val="single" w:sz="4" w:space="4" w:color="auto"/>
          <w:bottom w:val="single" w:sz="4" w:space="1" w:color="auto"/>
          <w:right w:val="single" w:sz="4" w:space="4" w:color="auto"/>
        </w:pBdr>
        <w:rPr>
          <w:rFonts w:ascii="Courier New" w:hAnsi="Courier New" w:cs="Courier New"/>
        </w:rPr>
      </w:pPr>
      <w:r w:rsidRPr="00A87ACA">
        <w:rPr>
          <w:rFonts w:ascii="Courier New" w:hAnsi="Courier New" w:cs="Courier New"/>
        </w:rPr>
        <w:t xml:space="preserve">  outC-&gt;o = N1_out_ch.o1 + F1_out_ch.o1;</w:t>
      </w:r>
    </w:p>
    <w:p w14:paraId="54F75A90" w14:textId="77777777" w:rsidR="004706F5" w:rsidRPr="00A87ACA" w:rsidRDefault="004706F5" w:rsidP="004706F5">
      <w:pPr>
        <w:pBdr>
          <w:top w:val="single" w:sz="4" w:space="1" w:color="auto"/>
          <w:left w:val="single" w:sz="4" w:space="4" w:color="auto"/>
          <w:bottom w:val="single" w:sz="4" w:space="1" w:color="auto"/>
          <w:right w:val="single" w:sz="4" w:space="4" w:color="auto"/>
        </w:pBdr>
        <w:rPr>
          <w:rFonts w:ascii="Courier New" w:hAnsi="Courier New" w:cs="Courier New"/>
        </w:rPr>
      </w:pPr>
      <w:r>
        <w:rPr>
          <w:rFonts w:ascii="Courier New" w:hAnsi="Courier New" w:cs="Courier New"/>
        </w:rPr>
        <w:t>}</w:t>
      </w:r>
    </w:p>
    <w:p w14:paraId="305A22ED" w14:textId="77777777" w:rsidR="004706F5" w:rsidRDefault="004706F5" w:rsidP="00295C0F">
      <w:pPr>
        <w:pStyle w:val="ITEABodyText"/>
        <w:rPr>
          <w:color w:val="002060"/>
        </w:rPr>
      </w:pPr>
    </w:p>
    <w:p w14:paraId="0CFAA50F" w14:textId="77777777" w:rsidR="004706F5" w:rsidRDefault="004706F5" w:rsidP="00295C0F">
      <w:pPr>
        <w:pStyle w:val="ITEABodyText"/>
        <w:rPr>
          <w:color w:val="002060"/>
        </w:rPr>
      </w:pPr>
      <w:r w:rsidRPr="004706F5">
        <w:rPr>
          <w:color w:val="002060"/>
        </w:rPr>
        <w:t xml:space="preserve">The </w:t>
      </w:r>
      <w:r w:rsidRPr="004706F5">
        <w:rPr>
          <w:rFonts w:ascii="Courier New" w:hAnsi="Courier New" w:cs="Courier New"/>
          <w:color w:val="002060"/>
        </w:rPr>
        <w:t>KCG_DECL_SENDER</w:t>
      </w:r>
      <w:r w:rsidRPr="004706F5">
        <w:rPr>
          <w:color w:val="002060"/>
        </w:rPr>
        <w:t xml:space="preserve"> and </w:t>
      </w:r>
      <w:r w:rsidRPr="004706F5">
        <w:rPr>
          <w:rFonts w:ascii="Courier New" w:hAnsi="Courier New" w:cs="Courier New"/>
          <w:color w:val="002060"/>
        </w:rPr>
        <w:t>KCG_DECL_RECEIVER</w:t>
      </w:r>
      <w:r w:rsidRPr="004706F5">
        <w:rPr>
          <w:color w:val="002060"/>
        </w:rPr>
        <w:t xml:space="preserve"> </w:t>
      </w:r>
      <w:r w:rsidR="00174CA3">
        <w:rPr>
          <w:color w:val="002060"/>
        </w:rPr>
        <w:t xml:space="preserve">Macros </w:t>
      </w:r>
      <w:r w:rsidRPr="004706F5">
        <w:rPr>
          <w:color w:val="002060"/>
        </w:rPr>
        <w:t>are used by the generated code to declare a sender and a receiver on a given channel.</w:t>
      </w:r>
    </w:p>
    <w:p w14:paraId="069AE474" w14:textId="77777777" w:rsidR="004706F5" w:rsidRDefault="004706F5" w:rsidP="00295C0F">
      <w:pPr>
        <w:pStyle w:val="ITEABodyText"/>
        <w:rPr>
          <w:color w:val="002060"/>
        </w:rPr>
      </w:pPr>
      <w:r>
        <w:rPr>
          <w:color w:val="002060"/>
        </w:rPr>
        <w:t>Note that i</w:t>
      </w:r>
      <w:r w:rsidRPr="004706F5">
        <w:rPr>
          <w:color w:val="002060"/>
        </w:rPr>
        <w:t>mplementations are provided in the `tools/tasks` directory for PThreads (`pthread/`), Windows threads (`windows/`), C++11 threads and mutex</w:t>
      </w:r>
      <w:r w:rsidR="00174CA3">
        <w:rPr>
          <w:color w:val="002060"/>
        </w:rPr>
        <w:t>es</w:t>
      </w:r>
      <w:r w:rsidRPr="004706F5">
        <w:rPr>
          <w:color w:val="002060"/>
        </w:rPr>
        <w:t xml:space="preserve"> (`cxx11`) and C11 atomics (`c11`).</w:t>
      </w:r>
    </w:p>
    <w:p w14:paraId="7F3AEBDC" w14:textId="77777777" w:rsidR="004706F5" w:rsidRDefault="004706F5" w:rsidP="00295C0F">
      <w:pPr>
        <w:pStyle w:val="ITEABodyText"/>
        <w:rPr>
          <w:color w:val="002060"/>
        </w:rPr>
      </w:pPr>
    </w:p>
    <w:p w14:paraId="12776032" w14:textId="77777777" w:rsidR="004706F5" w:rsidRPr="00B60969" w:rsidRDefault="004706F5" w:rsidP="005B3F15">
      <w:pPr>
        <w:pStyle w:val="ITEAHeading4"/>
      </w:pPr>
      <w:bookmarkStart w:id="34" w:name="_Toc398225055"/>
      <w:r w:rsidRPr="00B60969">
        <w:t>Worker</w:t>
      </w:r>
      <w:bookmarkEnd w:id="34"/>
      <w:r w:rsidRPr="00B60969">
        <w:t xml:space="preserve"> </w:t>
      </w:r>
    </w:p>
    <w:p w14:paraId="08B208A7" w14:textId="77777777" w:rsidR="004706F5" w:rsidRPr="004706F5" w:rsidRDefault="004706F5" w:rsidP="004706F5">
      <w:pPr>
        <w:pStyle w:val="ITEABodyText"/>
        <w:rPr>
          <w:color w:val="002060"/>
        </w:rPr>
      </w:pPr>
      <w:r w:rsidRPr="004706F5">
        <w:rPr>
          <w:color w:val="002060"/>
        </w:rPr>
        <w:t xml:space="preserve">For each </w:t>
      </w:r>
      <w:r w:rsidR="00B60969">
        <w:rPr>
          <w:color w:val="002060"/>
        </w:rPr>
        <w:t xml:space="preserve">operator </w:t>
      </w:r>
      <w:r w:rsidRPr="004706F5">
        <w:rPr>
          <w:color w:val="002060"/>
        </w:rPr>
        <w:t>instance in a pa</w:t>
      </w:r>
      <w:r w:rsidR="00295777">
        <w:rPr>
          <w:color w:val="002060"/>
        </w:rPr>
        <w:t xml:space="preserve">rallel subset, a worker called </w:t>
      </w:r>
      <w:r w:rsidR="006C0054">
        <w:rPr>
          <w:color w:val="002060"/>
        </w:rPr>
        <w:t>&lt;</w:t>
      </w:r>
      <w:r w:rsidRPr="00295777">
        <w:rPr>
          <w:rFonts w:ascii="Courier New" w:hAnsi="Courier New" w:cs="Courier New"/>
          <w:color w:val="002060"/>
        </w:rPr>
        <w:t>op</w:t>
      </w:r>
      <w:r w:rsidR="006C0054">
        <w:rPr>
          <w:rFonts w:ascii="Courier New" w:hAnsi="Courier New" w:cs="Courier New"/>
          <w:color w:val="002060"/>
        </w:rPr>
        <w:t>erator&gt;</w:t>
      </w:r>
      <w:r w:rsidRPr="00295777">
        <w:rPr>
          <w:rFonts w:ascii="Courier New" w:hAnsi="Courier New" w:cs="Courier New"/>
          <w:color w:val="002060"/>
        </w:rPr>
        <w:t>_worker</w:t>
      </w:r>
      <w:r w:rsidRPr="004706F5">
        <w:rPr>
          <w:color w:val="002060"/>
        </w:rPr>
        <w:t xml:space="preserve"> is generated, which takes as input the context of the operator (if any) and:</w:t>
      </w:r>
    </w:p>
    <w:p w14:paraId="3102A1C5" w14:textId="77777777" w:rsidR="004706F5" w:rsidRPr="004706F5" w:rsidRDefault="004706F5" w:rsidP="007A07E8">
      <w:pPr>
        <w:pStyle w:val="ITEABodyText"/>
        <w:numPr>
          <w:ilvl w:val="0"/>
          <w:numId w:val="19"/>
        </w:numPr>
        <w:rPr>
          <w:color w:val="002060"/>
        </w:rPr>
      </w:pPr>
      <w:r w:rsidRPr="004706F5">
        <w:rPr>
          <w:color w:val="002060"/>
        </w:rPr>
        <w:t>awaits a value on the input channel(s)</w:t>
      </w:r>
    </w:p>
    <w:p w14:paraId="4D04D7C2" w14:textId="77777777" w:rsidR="004706F5" w:rsidRPr="004706F5" w:rsidRDefault="004706F5" w:rsidP="007A07E8">
      <w:pPr>
        <w:pStyle w:val="ITEABodyText"/>
        <w:numPr>
          <w:ilvl w:val="0"/>
          <w:numId w:val="19"/>
        </w:numPr>
        <w:rPr>
          <w:color w:val="002060"/>
        </w:rPr>
      </w:pPr>
      <w:r w:rsidRPr="004706F5">
        <w:rPr>
          <w:color w:val="002060"/>
        </w:rPr>
        <w:t>executes the step function of the operator</w:t>
      </w:r>
    </w:p>
    <w:p w14:paraId="4DD61B79" w14:textId="77777777" w:rsidR="004706F5" w:rsidRPr="004706F5" w:rsidRDefault="004706F5" w:rsidP="007A07E8">
      <w:pPr>
        <w:pStyle w:val="ITEABodyText"/>
        <w:numPr>
          <w:ilvl w:val="0"/>
          <w:numId w:val="19"/>
        </w:numPr>
        <w:rPr>
          <w:color w:val="002060"/>
        </w:rPr>
      </w:pPr>
      <w:r w:rsidRPr="004706F5">
        <w:rPr>
          <w:color w:val="002060"/>
        </w:rPr>
        <w:t>sends the result to the output channel(s).</w:t>
      </w:r>
    </w:p>
    <w:p w14:paraId="29E8BD50" w14:textId="77777777" w:rsidR="004706F5" w:rsidRDefault="004706F5" w:rsidP="004706F5">
      <w:pPr>
        <w:pStyle w:val="ITEABodyText"/>
        <w:rPr>
          <w:color w:val="002060"/>
        </w:rPr>
      </w:pPr>
      <w:r w:rsidRPr="004706F5">
        <w:rPr>
          <w:color w:val="002060"/>
        </w:rPr>
        <w:t xml:space="preserve">Note that the worker only executes one step of the operator. Like the main operator, it has to be put inside a loop to obtain the final </w:t>
      </w:r>
      <w:r w:rsidR="00295777" w:rsidRPr="004706F5">
        <w:rPr>
          <w:color w:val="002060"/>
        </w:rPr>
        <w:t>behaviour</w:t>
      </w:r>
      <w:r w:rsidRPr="004706F5">
        <w:rPr>
          <w:color w:val="002060"/>
        </w:rPr>
        <w:t>.</w:t>
      </w:r>
    </w:p>
    <w:p w14:paraId="60B35D0F" w14:textId="77777777" w:rsidR="006C0054" w:rsidRDefault="006C0054" w:rsidP="006C0054">
      <w:pPr>
        <w:pStyle w:val="ITEABodyText"/>
        <w:rPr>
          <w:color w:val="002060"/>
        </w:rPr>
      </w:pPr>
      <w:r w:rsidRPr="004567D8">
        <w:rPr>
          <w:color w:val="002060"/>
        </w:rPr>
        <w:t>The code generated is independent from the target and from the allocation of workers to threads. A simple integration consists in creating one thread for each worker. But it is also possible to put several workers in the same thread.</w:t>
      </w:r>
    </w:p>
    <w:p w14:paraId="5C05EEBA" w14:textId="77777777" w:rsidR="006C0054" w:rsidRPr="00B60969" w:rsidRDefault="00B60969" w:rsidP="005B3F15">
      <w:pPr>
        <w:pStyle w:val="ITEAHeading4"/>
      </w:pPr>
      <w:bookmarkStart w:id="35" w:name="_Toc398225056"/>
      <w:r>
        <w:t>Integration on Specific Targets</w:t>
      </w:r>
      <w:bookmarkEnd w:id="35"/>
    </w:p>
    <w:p w14:paraId="6AA42D16" w14:textId="77777777" w:rsidR="00082CA7" w:rsidRDefault="00B60969" w:rsidP="006C0054">
      <w:pPr>
        <w:pStyle w:val="ITEABodyText"/>
        <w:rPr>
          <w:color w:val="002060"/>
        </w:rPr>
      </w:pPr>
      <w:r>
        <w:rPr>
          <w:color w:val="002060"/>
        </w:rPr>
        <w:t xml:space="preserve">Integration </w:t>
      </w:r>
      <w:r w:rsidR="00082CA7">
        <w:rPr>
          <w:color w:val="002060"/>
        </w:rPr>
        <w:t>to a new target platform</w:t>
      </w:r>
      <w:r>
        <w:rPr>
          <w:color w:val="002060"/>
        </w:rPr>
        <w:t xml:space="preserve"> </w:t>
      </w:r>
      <w:r w:rsidR="00082CA7">
        <w:rPr>
          <w:color w:val="002060"/>
        </w:rPr>
        <w:t>consists in providing the code for the macros and instantiating the application (thread creation, memory allocation, …). T</w:t>
      </w:r>
      <w:r w:rsidR="00082CA7" w:rsidRPr="004567D8">
        <w:rPr>
          <w:color w:val="002060"/>
        </w:rPr>
        <w:t>he main function of the program has to setup the communication channels and run in parallel the main program and the workers</w:t>
      </w:r>
      <w:r w:rsidR="00082CA7">
        <w:rPr>
          <w:color w:val="002060"/>
        </w:rPr>
        <w:t>.</w:t>
      </w:r>
    </w:p>
    <w:p w14:paraId="376284D4" w14:textId="37F34538" w:rsidR="006C0054" w:rsidRPr="006C0054" w:rsidRDefault="00082CA7" w:rsidP="006C0054">
      <w:pPr>
        <w:pStyle w:val="ITEABodyText"/>
        <w:rPr>
          <w:color w:val="002060"/>
        </w:rPr>
      </w:pPr>
      <w:r>
        <w:rPr>
          <w:color w:val="002060"/>
        </w:rPr>
        <w:t xml:space="preserve">To perform this task all required information (workers, communication channels, etc.) is stored in a </w:t>
      </w:r>
      <w:r w:rsidRPr="006C0054">
        <w:rPr>
          <w:rFonts w:ascii="Courier New" w:hAnsi="Courier New" w:cs="Courier New"/>
          <w:color w:val="002060"/>
        </w:rPr>
        <w:t>mapping.xml</w:t>
      </w:r>
      <w:r>
        <w:rPr>
          <w:color w:val="002060"/>
        </w:rPr>
        <w:t xml:space="preserve"> file </w:t>
      </w:r>
      <w:r w:rsidRPr="006C0054">
        <w:rPr>
          <w:color w:val="002060"/>
        </w:rPr>
        <w:t>which contains traceability information between the input model and the generated code</w:t>
      </w:r>
      <w:r>
        <w:rPr>
          <w:color w:val="002060"/>
        </w:rPr>
        <w:t xml:space="preserve">. </w:t>
      </w:r>
      <w:r w:rsidR="006C0054" w:rsidRPr="006C0054">
        <w:rPr>
          <w:color w:val="002060"/>
        </w:rPr>
        <w:t xml:space="preserve">The folder </w:t>
      </w:r>
      <w:r w:rsidR="006C0054" w:rsidRPr="006C0054">
        <w:rPr>
          <w:rFonts w:ascii="Courier New" w:hAnsi="Courier New" w:cs="Courier New"/>
          <w:color w:val="002060"/>
        </w:rPr>
        <w:t>tools/mapping_file</w:t>
      </w:r>
      <w:r w:rsidR="006C0054" w:rsidRPr="006C0054">
        <w:rPr>
          <w:color w:val="002060"/>
        </w:rPr>
        <w:t xml:space="preserve"> contains a Python API to access the </w:t>
      </w:r>
      <w:r w:rsidR="006C0054" w:rsidRPr="006C0054">
        <w:rPr>
          <w:rFonts w:ascii="Courier New" w:hAnsi="Courier New" w:cs="Courier New"/>
          <w:color w:val="002060"/>
        </w:rPr>
        <w:t>mapping.xml</w:t>
      </w:r>
      <w:r w:rsidR="006C0054" w:rsidRPr="006C0054">
        <w:rPr>
          <w:color w:val="002060"/>
        </w:rPr>
        <w:t xml:space="preserve"> file generated by </w:t>
      </w:r>
      <w:r w:rsidR="001E7785">
        <w:rPr>
          <w:color w:val="002060"/>
        </w:rPr>
        <w:t>ESTEREL TECHNOLOGIES</w:t>
      </w:r>
      <w:r w:rsidR="009F4110">
        <w:rPr>
          <w:color w:val="002060"/>
        </w:rPr>
        <w:t xml:space="preserve"> SCADE </w:t>
      </w:r>
      <w:r w:rsidR="006C0054" w:rsidRPr="006C0054">
        <w:rPr>
          <w:color w:val="002060"/>
        </w:rPr>
        <w:t>KCG. The documentati</w:t>
      </w:r>
      <w:r w:rsidR="00626742">
        <w:rPr>
          <w:color w:val="002060"/>
        </w:rPr>
        <w:t xml:space="preserve">on of this API can be found in </w:t>
      </w:r>
      <w:r w:rsidR="006C0054" w:rsidRPr="00626742">
        <w:rPr>
          <w:rFonts w:ascii="Courier New" w:hAnsi="Courier New" w:cs="Courier New"/>
          <w:color w:val="002060"/>
        </w:rPr>
        <w:t>tools/mapping_file/doc</w:t>
      </w:r>
      <w:r w:rsidR="006C0054" w:rsidRPr="006C0054">
        <w:rPr>
          <w:color w:val="002060"/>
        </w:rPr>
        <w:t>.</w:t>
      </w:r>
      <w:r w:rsidR="006C0054">
        <w:rPr>
          <w:color w:val="002060"/>
        </w:rPr>
        <w:t xml:space="preserve"> </w:t>
      </w:r>
    </w:p>
    <w:p w14:paraId="598E78B4" w14:textId="77777777" w:rsidR="00082CA7" w:rsidRDefault="00082CA7" w:rsidP="006C0054">
      <w:pPr>
        <w:pStyle w:val="ITEABodyText"/>
        <w:rPr>
          <w:color w:val="002060"/>
        </w:rPr>
      </w:pPr>
    </w:p>
    <w:p w14:paraId="49B97A5D" w14:textId="5448408A" w:rsidR="006C0054" w:rsidRPr="006C0054" w:rsidRDefault="006C0054" w:rsidP="006C0054">
      <w:pPr>
        <w:pStyle w:val="ITEABodyText"/>
        <w:rPr>
          <w:color w:val="002060"/>
        </w:rPr>
      </w:pPr>
      <w:r w:rsidRPr="006C0054">
        <w:rPr>
          <w:color w:val="002060"/>
        </w:rPr>
        <w:t xml:space="preserve">The script </w:t>
      </w:r>
      <w:r w:rsidRPr="006C0054">
        <w:rPr>
          <w:rFonts w:ascii="Courier New" w:hAnsi="Courier New" w:cs="Courier New"/>
          <w:color w:val="002060"/>
        </w:rPr>
        <w:t>tools/mapping_file/examples/multicore/main_gen.py</w:t>
      </w:r>
      <w:r w:rsidRPr="006C0054">
        <w:rPr>
          <w:color w:val="002060"/>
        </w:rPr>
        <w:t xml:space="preserve"> shows an example of how to generate a main file for Pthread</w:t>
      </w:r>
      <w:r w:rsidR="00667308">
        <w:rPr>
          <w:color w:val="002060"/>
        </w:rPr>
        <w:t xml:space="preserve"> and Win32</w:t>
      </w:r>
      <w:r w:rsidRPr="006C0054">
        <w:rPr>
          <w:color w:val="002060"/>
        </w:rPr>
        <w:t xml:space="preserve"> </w:t>
      </w:r>
      <w:r w:rsidR="00667308">
        <w:rPr>
          <w:color w:val="002060"/>
        </w:rPr>
        <w:t xml:space="preserve">API </w:t>
      </w:r>
      <w:r w:rsidRPr="006C0054">
        <w:rPr>
          <w:color w:val="002060"/>
        </w:rPr>
        <w:t>using the mapping file API.</w:t>
      </w:r>
      <w:r w:rsidR="00667308">
        <w:rPr>
          <w:color w:val="002060"/>
        </w:rPr>
        <w:t xml:space="preserve"> The script takes as input an </w:t>
      </w:r>
      <w:r w:rsidR="00667308">
        <w:rPr>
          <w:color w:val="002060"/>
        </w:rPr>
        <w:lastRenderedPageBreak/>
        <w:t>allocation of workers to threads (named “Scheduling / Target information</w:t>
      </w:r>
      <w:r w:rsidR="00667308" w:rsidRPr="00B60969">
        <w:rPr>
          <w:color w:val="002060"/>
        </w:rPr>
        <w:t xml:space="preserve">” in </w:t>
      </w:r>
      <w:r w:rsidR="00A03B68">
        <w:fldChar w:fldCharType="begin"/>
      </w:r>
      <w:r w:rsidR="00A03B68">
        <w:instrText xml:space="preserve"> REF _Ref470092077 \h  \* MERGEFORMAT </w:instrText>
      </w:r>
      <w:r w:rsidR="00A03B68">
        <w:fldChar w:fldCharType="separate"/>
      </w:r>
      <w:r w:rsidR="00E827D1" w:rsidRPr="00000EDB">
        <w:rPr>
          <w:color w:val="002060"/>
        </w:rPr>
        <w:t xml:space="preserve">Figure </w:t>
      </w:r>
      <w:r w:rsidR="00A03B68">
        <w:fldChar w:fldCharType="end"/>
      </w:r>
      <w:r w:rsidR="00667308" w:rsidRPr="00B60969">
        <w:rPr>
          <w:color w:val="002060"/>
        </w:rPr>
        <w:t>)</w:t>
      </w:r>
      <w:r w:rsidR="00667308">
        <w:rPr>
          <w:color w:val="002060"/>
        </w:rPr>
        <w:t>.</w:t>
      </w:r>
      <w:r w:rsidR="00626742">
        <w:rPr>
          <w:color w:val="002060"/>
        </w:rPr>
        <w:t xml:space="preserve"> </w:t>
      </w:r>
      <w:r w:rsidRPr="006C0054">
        <w:rPr>
          <w:color w:val="002060"/>
        </w:rPr>
        <w:t>This script also implements more advanced features</w:t>
      </w:r>
      <w:r w:rsidR="00626742">
        <w:rPr>
          <w:color w:val="002060"/>
        </w:rPr>
        <w:t xml:space="preserve"> like</w:t>
      </w:r>
      <w:r w:rsidRPr="006C0054">
        <w:rPr>
          <w:color w:val="002060"/>
        </w:rPr>
        <w:t>:</w:t>
      </w:r>
    </w:p>
    <w:p w14:paraId="6B982DFB" w14:textId="77777777" w:rsidR="006C0054" w:rsidRPr="006C0054" w:rsidRDefault="006C0054" w:rsidP="007A07E8">
      <w:pPr>
        <w:pStyle w:val="ITEABodyText"/>
        <w:numPr>
          <w:ilvl w:val="0"/>
          <w:numId w:val="19"/>
        </w:numPr>
        <w:rPr>
          <w:color w:val="002060"/>
        </w:rPr>
      </w:pPr>
      <w:r w:rsidRPr="006C0054">
        <w:rPr>
          <w:color w:val="002060"/>
        </w:rPr>
        <w:t xml:space="preserve">it checks that the order chosen for workers in each thread is correct according to the order in which the corresponding channels are </w:t>
      </w:r>
      <w:r>
        <w:rPr>
          <w:color w:val="002060"/>
        </w:rPr>
        <w:t xml:space="preserve">used in the root operator (see </w:t>
      </w:r>
      <w:r w:rsidRPr="006C0054">
        <w:rPr>
          <w:rFonts w:ascii="Courier New" w:hAnsi="Courier New" w:cs="Courier New"/>
          <w:color w:val="002060"/>
        </w:rPr>
        <w:t>check_scheduling</w:t>
      </w:r>
      <w:r w:rsidRPr="006C0054">
        <w:rPr>
          <w:color w:val="002060"/>
        </w:rPr>
        <w:t xml:space="preserve"> function).</w:t>
      </w:r>
      <w:r w:rsidR="00667308">
        <w:rPr>
          <w:color w:val="002060"/>
        </w:rPr>
        <w:t xml:space="preserve"> This is necessary to avoid a deadlock at runtime.</w:t>
      </w:r>
    </w:p>
    <w:p w14:paraId="4828DB1D" w14:textId="77777777" w:rsidR="004567D8" w:rsidRDefault="006C0054" w:rsidP="007A07E8">
      <w:pPr>
        <w:pStyle w:val="ITEABodyText"/>
        <w:numPr>
          <w:ilvl w:val="0"/>
          <w:numId w:val="19"/>
        </w:numPr>
        <w:rPr>
          <w:color w:val="002060"/>
        </w:rPr>
      </w:pPr>
      <w:r w:rsidRPr="006C0054">
        <w:rPr>
          <w:color w:val="002060"/>
        </w:rPr>
        <w:t xml:space="preserve">it generates a </w:t>
      </w:r>
      <w:r>
        <w:rPr>
          <w:rFonts w:ascii="Courier New" w:hAnsi="Courier New" w:cs="Courier New"/>
          <w:color w:val="002060"/>
        </w:rPr>
        <w:t>u</w:t>
      </w:r>
      <w:r w:rsidRPr="006C0054">
        <w:rPr>
          <w:rFonts w:ascii="Courier New" w:hAnsi="Courier New" w:cs="Courier New"/>
          <w:color w:val="002060"/>
        </w:rPr>
        <w:t>ser_config.h</w:t>
      </w:r>
      <w:r w:rsidRPr="006C0054">
        <w:rPr>
          <w:color w:val="002060"/>
        </w:rPr>
        <w:t xml:space="preserve"> file which overwrites the definition of communication macros for channels between workers executed in the same thread. In that case, no synchronization is needed.</w:t>
      </w:r>
    </w:p>
    <w:p w14:paraId="626AB4C9" w14:textId="77777777" w:rsidR="00626742" w:rsidRDefault="00626742" w:rsidP="007A07E8">
      <w:pPr>
        <w:pStyle w:val="ITEABodyText"/>
        <w:numPr>
          <w:ilvl w:val="0"/>
          <w:numId w:val="19"/>
        </w:numPr>
        <w:rPr>
          <w:color w:val="002060"/>
        </w:rPr>
      </w:pPr>
      <w:r>
        <w:rPr>
          <w:color w:val="002060"/>
        </w:rPr>
        <w:t>…</w:t>
      </w:r>
    </w:p>
    <w:p w14:paraId="32A66746" w14:textId="77777777" w:rsidR="006C0054" w:rsidRPr="004567D8" w:rsidRDefault="00626742" w:rsidP="006C0054">
      <w:pPr>
        <w:pStyle w:val="ITEABodyText"/>
        <w:rPr>
          <w:color w:val="002060"/>
        </w:rPr>
      </w:pPr>
      <w:r>
        <w:rPr>
          <w:color w:val="002060"/>
        </w:rPr>
        <w:t xml:space="preserve">The </w:t>
      </w:r>
      <w:r w:rsidR="006C0054" w:rsidRPr="00626742">
        <w:rPr>
          <w:rFonts w:ascii="Courier New" w:hAnsi="Courier New" w:cs="Courier New"/>
          <w:color w:val="002060"/>
        </w:rPr>
        <w:t>tools/tasks</w:t>
      </w:r>
      <w:r w:rsidR="006C0054" w:rsidRPr="004567D8">
        <w:rPr>
          <w:color w:val="002060"/>
        </w:rPr>
        <w:t xml:space="preserve"> folders contains several folders providing an implementation of `kcg_channel.h` for a given target.</w:t>
      </w:r>
    </w:p>
    <w:p w14:paraId="34D4C39E" w14:textId="60C9FA04" w:rsidR="006C0054" w:rsidRDefault="006C0054" w:rsidP="006C0054">
      <w:pPr>
        <w:pStyle w:val="ITEABodyText"/>
        <w:rPr>
          <w:color w:val="002060"/>
        </w:rPr>
      </w:pPr>
    </w:p>
    <w:p w14:paraId="30BBD66B" w14:textId="07570877" w:rsidR="00CF42B7" w:rsidRDefault="00572455" w:rsidP="00CF42B7">
      <w:pPr>
        <w:pStyle w:val="ITEAHeading3"/>
      </w:pPr>
      <w:bookmarkStart w:id="36" w:name="_Toc398225057"/>
      <w:r>
        <w:t>Non</w:t>
      </w:r>
      <w:r w:rsidR="00FB1389" w:rsidRPr="00C72DD9">
        <w:t xml:space="preserve">-functional </w:t>
      </w:r>
      <w:r w:rsidR="00AA2D35">
        <w:t>annotations in</w:t>
      </w:r>
      <w:r w:rsidR="00FB1389" w:rsidRPr="00C72DD9">
        <w:t xml:space="preserve"> Heptagon</w:t>
      </w:r>
      <w:bookmarkEnd w:id="36"/>
    </w:p>
    <w:p w14:paraId="3030EC59" w14:textId="416BD9FF" w:rsidR="002E797D" w:rsidRDefault="00155D13" w:rsidP="00330C5F">
      <w:pPr>
        <w:pStyle w:val="ITEABodyText"/>
      </w:pPr>
      <w:r>
        <w:t xml:space="preserve">As explained above, the </w:t>
      </w:r>
      <w:r w:rsidR="00D83289">
        <w:t xml:space="preserve">Heptagon language has been extended with annotations allowing the definition of </w:t>
      </w:r>
      <w:r w:rsidR="00AD62DB">
        <w:t xml:space="preserve">non-functional requirements. These annotations allow the definition of the system-level integration specification introduced in section </w:t>
      </w:r>
      <w:r w:rsidR="00594AA9">
        <w:t>2.3.3.</w:t>
      </w:r>
      <w:r w:rsidR="00733E0B">
        <w:t xml:space="preserve"> </w:t>
      </w:r>
      <w:r w:rsidR="002E797D">
        <w:t>We introduce annotations through the simple example of Fig</w:t>
      </w:r>
      <w:r w:rsidR="004732D5">
        <w:t>. 5</w:t>
      </w:r>
      <w:r w:rsidR="002E797D">
        <w:t>. In this figure, black program text provides the functional specification (in plain Heptagon language). Non-functional annotations use red text.</w:t>
      </w:r>
    </w:p>
    <w:p w14:paraId="3F605DBF" w14:textId="5BF48056" w:rsidR="002E797D" w:rsidRDefault="002E797D" w:rsidP="00330C5F">
      <w:pPr>
        <w:pStyle w:val="ITEABodyText"/>
      </w:pPr>
      <w:r>
        <w:t>Annotations allow the specification of the following requirements:</w:t>
      </w:r>
    </w:p>
    <w:p w14:paraId="44E68E79" w14:textId="2183A45C" w:rsidR="002E797D" w:rsidRDefault="002E797D" w:rsidP="002E797D">
      <w:pPr>
        <w:pStyle w:val="ITEABodyText"/>
        <w:numPr>
          <w:ilvl w:val="0"/>
          <w:numId w:val="19"/>
        </w:numPr>
      </w:pPr>
      <w:r>
        <w:t xml:space="preserve">Period. </w:t>
      </w:r>
      <w:r w:rsidR="008D104C">
        <w:t>A single period can be currently specified, at system level. This allow</w:t>
      </w:r>
      <w:r w:rsidR="0055459F">
        <w:t>s</w:t>
      </w:r>
      <w:r w:rsidR="008D104C">
        <w:t xml:space="preserve"> the specification of single-period systems (multi-period systems can be specified by using a hyper-period expansion).</w:t>
      </w:r>
    </w:p>
    <w:p w14:paraId="4DEC4EEA" w14:textId="0B154C8D" w:rsidR="002E797D" w:rsidRDefault="002E797D" w:rsidP="002E797D">
      <w:pPr>
        <w:pStyle w:val="ITEABodyText"/>
        <w:numPr>
          <w:ilvl w:val="0"/>
          <w:numId w:val="19"/>
        </w:numPr>
      </w:pPr>
      <w:r>
        <w:t>Release date and deadline.</w:t>
      </w:r>
      <w:r w:rsidR="008D104C">
        <w:t xml:space="preserve"> Each program statement can be associated a release date and a deadline. </w:t>
      </w:r>
    </w:p>
    <w:p w14:paraId="50C46558" w14:textId="1FD7B102" w:rsidR="002E797D" w:rsidRDefault="008D104C" w:rsidP="002E797D">
      <w:pPr>
        <w:pStyle w:val="ITEABodyText"/>
        <w:numPr>
          <w:ilvl w:val="0"/>
          <w:numId w:val="19"/>
        </w:numPr>
      </w:pPr>
      <w:r>
        <w:t>Partitioning. Each program statement can be associated a partition. Partitions can later be used to define allocation requirements.</w:t>
      </w:r>
    </w:p>
    <w:p w14:paraId="55901658" w14:textId="77777777" w:rsidR="00A760D6" w:rsidRDefault="008D104C" w:rsidP="00A760D6">
      <w:pPr>
        <w:pStyle w:val="ITEABodyText"/>
        <w:numPr>
          <w:ilvl w:val="0"/>
          <w:numId w:val="19"/>
        </w:numPr>
      </w:pPr>
      <w:r>
        <w:t>Preemptability.</w:t>
      </w:r>
      <w:r w:rsidR="0055459F">
        <w:t xml:space="preserve"> On platforms that support preemptive execution, these annotations determine which computations can be pre-empted, and which not.</w:t>
      </w:r>
    </w:p>
    <w:p w14:paraId="1ECF3277" w14:textId="7D807964" w:rsidR="004266A0" w:rsidRDefault="00A760D6" w:rsidP="00330C5F">
      <w:pPr>
        <w:pStyle w:val="ITEABodyText"/>
      </w:pPr>
      <w:r>
        <w:t>Heptagon-NFP programs are automatically translated into the input form</w:t>
      </w:r>
      <w:r w:rsidR="00597FD4">
        <w:t>alism of Lopht, described in (Carle, 2012)</w:t>
      </w:r>
      <w:r w:rsidR="003F1C65">
        <w:t>.</w:t>
      </w:r>
    </w:p>
    <w:p w14:paraId="6A0D304D" w14:textId="77777777" w:rsidR="00366199" w:rsidRDefault="00366199" w:rsidP="00330C5F">
      <w:pPr>
        <w:pStyle w:val="ITEABodyText"/>
      </w:pPr>
    </w:p>
    <w:p w14:paraId="5A6A4343" w14:textId="77777777" w:rsidR="00E827D1" w:rsidRDefault="00E827D1" w:rsidP="00330C5F">
      <w:pPr>
        <w:pStyle w:val="ITEABodyText"/>
      </w:pPr>
    </w:p>
    <w:p w14:paraId="175C7FAC" w14:textId="77777777" w:rsidR="00366199" w:rsidRDefault="00366199" w:rsidP="00330C5F">
      <w:pPr>
        <w:pStyle w:val="ITEABodyText"/>
      </w:pPr>
    </w:p>
    <w:p w14:paraId="458A8F4C" w14:textId="77777777" w:rsidR="00B75D7B" w:rsidRDefault="00B75D7B" w:rsidP="00B75D7B">
      <w:pPr>
        <w:pStyle w:val="ITEABodyText"/>
      </w:pPr>
    </w:p>
    <w:p w14:paraId="6FA83924" w14:textId="61C79038" w:rsidR="00B75D7B" w:rsidRDefault="00B75D7B" w:rsidP="00B75D7B">
      <w:pPr>
        <w:pStyle w:val="ITEABodyText"/>
      </w:pPr>
    </w:p>
    <w:p w14:paraId="77DEAF31" w14:textId="281F690D" w:rsidR="004266A0" w:rsidRDefault="00E827D1" w:rsidP="00B75D7B">
      <w:pPr>
        <w:pStyle w:val="ITEABodyText"/>
      </w:pPr>
      <w:r>
        <w:rPr>
          <w:noProof/>
          <w:lang w:val="en-US" w:eastAsia="en-US"/>
        </w:rPr>
        <mc:AlternateContent>
          <mc:Choice Requires="wps">
            <w:drawing>
              <wp:anchor distT="0" distB="0" distL="114300" distR="114300" simplePos="0" relativeHeight="251671040" behindDoc="0" locked="0" layoutInCell="1" allowOverlap="1" wp14:anchorId="717320EA" wp14:editId="769B0042">
                <wp:simplePos x="0" y="0"/>
                <wp:positionH relativeFrom="column">
                  <wp:posOffset>712470</wp:posOffset>
                </wp:positionH>
                <wp:positionV relativeFrom="paragraph">
                  <wp:posOffset>-228600</wp:posOffset>
                </wp:positionV>
                <wp:extent cx="4829810" cy="4002405"/>
                <wp:effectExtent l="0" t="0" r="0" b="0"/>
                <wp:wrapSquare wrapText="bothSides"/>
                <wp:docPr id="2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810" cy="400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3C609" w14:textId="24FADA52" w:rsidR="00B751CB" w:rsidRDefault="00B751CB" w:rsidP="0058412B">
                            <w:pPr>
                              <w:pStyle w:val="ITEABodyText"/>
                              <w:spacing w:after="0" w:line="240" w:lineRule="auto"/>
                              <w:rPr>
                                <w:rFonts w:ascii="Andale Mono" w:hAnsi="Andale Mono"/>
                              </w:rPr>
                            </w:pPr>
                            <w:r>
                              <w:rPr>
                                <w:rFonts w:ascii="Andale Mono" w:hAnsi="Andale Mono"/>
                              </w:rPr>
                              <w:t>open Externc</w:t>
                            </w:r>
                          </w:p>
                          <w:p w14:paraId="4D212920" w14:textId="77777777" w:rsidR="00B751CB" w:rsidRDefault="00B751CB" w:rsidP="0058412B">
                            <w:pPr>
                              <w:pStyle w:val="ITEABodyText"/>
                              <w:spacing w:after="0" w:line="240" w:lineRule="auto"/>
                              <w:rPr>
                                <w:rFonts w:ascii="Andale Mono" w:hAnsi="Andale Mono"/>
                              </w:rPr>
                            </w:pPr>
                          </w:p>
                          <w:p w14:paraId="68C2B0E9" w14:textId="0F7F9D40" w:rsidR="00B751CB" w:rsidRPr="0058412B" w:rsidRDefault="00B751CB" w:rsidP="0058412B">
                            <w:pPr>
                              <w:pStyle w:val="ITEABodyText"/>
                              <w:spacing w:after="0" w:line="240" w:lineRule="auto"/>
                              <w:rPr>
                                <w:rFonts w:ascii="Andale Mono" w:hAnsi="Andale Mono"/>
                              </w:rPr>
                            </w:pPr>
                            <w:r w:rsidRPr="0058412B">
                              <w:rPr>
                                <w:rFonts w:ascii="Andale Mono" w:hAnsi="Andale Mono"/>
                              </w:rPr>
                              <w:t>n</w:t>
                            </w:r>
                            <w:r>
                              <w:rPr>
                                <w:rFonts w:ascii="Andale Mono" w:hAnsi="Andale Mono"/>
                              </w:rPr>
                              <w:t xml:space="preserve">ode </w:t>
                            </w:r>
                            <w:r w:rsidRPr="0020425B">
                              <w:rPr>
                                <w:rFonts w:ascii="Andale Mono" w:hAnsi="Andale Mono"/>
                              </w:rPr>
                              <w:t xml:space="preserve">main </w:t>
                            </w:r>
                            <w:r w:rsidRPr="0020425B">
                              <w:rPr>
                                <w:rFonts w:ascii="Andale Mono" w:hAnsi="Andale Mono"/>
                                <w:color w:val="FF0000"/>
                              </w:rPr>
                              <w:t>perio</w:t>
                            </w:r>
                            <w:r>
                              <w:rPr>
                                <w:rFonts w:ascii="Andale Mono" w:hAnsi="Andale Mono"/>
                                <w:color w:val="FF0000"/>
                              </w:rPr>
                              <w:t>d(0x100000</w:t>
                            </w:r>
                            <w:r w:rsidRPr="0020425B">
                              <w:rPr>
                                <w:rFonts w:ascii="Andale Mono" w:hAnsi="Andale Mono"/>
                                <w:color w:val="FF0000"/>
                              </w:rPr>
                              <w:t>)</w:t>
                            </w:r>
                            <w:r w:rsidRPr="0020425B">
                              <w:rPr>
                                <w:rFonts w:ascii="Andale Mono" w:hAnsi="Andale Mono"/>
                              </w:rPr>
                              <w:t xml:space="preserve"> () returns</w:t>
                            </w:r>
                            <w:r w:rsidRPr="0058412B">
                              <w:rPr>
                                <w:rFonts w:ascii="Andale Mono" w:hAnsi="Andale Mono"/>
                              </w:rPr>
                              <w:t xml:space="preserve"> () </w:t>
                            </w:r>
                          </w:p>
                          <w:p w14:paraId="1009B6E2" w14:textId="77777777" w:rsidR="00B751CB" w:rsidRPr="0058412B" w:rsidRDefault="00B751CB" w:rsidP="0058412B">
                            <w:pPr>
                              <w:pStyle w:val="ITEABodyText"/>
                              <w:spacing w:after="0" w:line="240" w:lineRule="auto"/>
                              <w:rPr>
                                <w:rFonts w:ascii="Andale Mono" w:hAnsi="Andale Mono"/>
                              </w:rPr>
                            </w:pPr>
                            <w:r w:rsidRPr="0058412B">
                              <w:rPr>
                                <w:rFonts w:ascii="Andale Mono" w:hAnsi="Andale Mono"/>
                              </w:rPr>
                              <w:t>var</w:t>
                            </w:r>
                          </w:p>
                          <w:p w14:paraId="5FB9C694" w14:textId="77777777" w:rsidR="00B751CB" w:rsidRPr="0058412B" w:rsidRDefault="00B751CB" w:rsidP="0058412B">
                            <w:pPr>
                              <w:pStyle w:val="ITEABodyText"/>
                              <w:spacing w:after="0" w:line="240" w:lineRule="auto"/>
                              <w:rPr>
                                <w:rFonts w:ascii="Andale Mono" w:hAnsi="Andale Mono"/>
                              </w:rPr>
                            </w:pPr>
                            <w:r w:rsidRPr="0058412B">
                              <w:rPr>
                                <w:rFonts w:ascii="Andale Mono" w:hAnsi="Andale Mono"/>
                              </w:rPr>
                              <w:t xml:space="preserve">  fs, hs: bool ;</w:t>
                            </w:r>
                          </w:p>
                          <w:p w14:paraId="75040ABB" w14:textId="77777777" w:rsidR="00B751CB" w:rsidRPr="0058412B" w:rsidRDefault="00B751CB" w:rsidP="0058412B">
                            <w:pPr>
                              <w:pStyle w:val="ITEABodyText"/>
                              <w:spacing w:after="0" w:line="240" w:lineRule="auto"/>
                              <w:rPr>
                                <w:rFonts w:ascii="Andale Mono" w:hAnsi="Andale Mono"/>
                              </w:rPr>
                            </w:pPr>
                            <w:r w:rsidRPr="0058412B">
                              <w:rPr>
                                <w:rFonts w:ascii="Andale Mono" w:hAnsi="Andale Mono"/>
                              </w:rPr>
                              <w:t xml:space="preserve">  id, param: int ;</w:t>
                            </w:r>
                          </w:p>
                          <w:p w14:paraId="371CA883" w14:textId="77777777" w:rsidR="00B751CB" w:rsidRPr="0058412B" w:rsidRDefault="00B751CB" w:rsidP="0058412B">
                            <w:pPr>
                              <w:pStyle w:val="ITEABodyText"/>
                              <w:spacing w:after="0" w:line="240" w:lineRule="auto"/>
                              <w:rPr>
                                <w:rFonts w:ascii="Andale Mono" w:hAnsi="Andale Mono"/>
                              </w:rPr>
                            </w:pPr>
                            <w:r w:rsidRPr="0058412B">
                              <w:rPr>
                                <w:rFonts w:ascii="Andale Mono" w:hAnsi="Andale Mono"/>
                              </w:rPr>
                              <w:t>let</w:t>
                            </w:r>
                          </w:p>
                          <w:p w14:paraId="617977BD" w14:textId="77777777" w:rsidR="00B751CB" w:rsidRPr="0020425B" w:rsidRDefault="00B751CB" w:rsidP="0058412B">
                            <w:pPr>
                              <w:pStyle w:val="ITEABodyText"/>
                              <w:spacing w:after="0" w:line="240" w:lineRule="auto"/>
                              <w:rPr>
                                <w:rFonts w:ascii="Andale Mono" w:hAnsi="Andale Mono"/>
                                <w:color w:val="FF0000"/>
                              </w:rPr>
                            </w:pPr>
                            <w:r w:rsidRPr="0058412B">
                              <w:rPr>
                                <w:rFonts w:ascii="Andale Mono" w:hAnsi="Andale Mono"/>
                              </w:rPr>
                              <w:t xml:space="preserve">  </w:t>
                            </w:r>
                            <w:r w:rsidRPr="0020425B">
                              <w:rPr>
                                <w:rFonts w:ascii="Andale Mono" w:hAnsi="Andale Mono"/>
                                <w:color w:val="FF0000"/>
                              </w:rPr>
                              <w:t>partition(critical) release(0x80000)</w:t>
                            </w:r>
                          </w:p>
                          <w:p w14:paraId="0BF378D0" w14:textId="77777777" w:rsidR="00B751CB" w:rsidRPr="0058412B" w:rsidRDefault="00B751CB" w:rsidP="0058412B">
                            <w:pPr>
                              <w:pStyle w:val="ITEABodyText"/>
                              <w:spacing w:after="0" w:line="240" w:lineRule="auto"/>
                              <w:rPr>
                                <w:rFonts w:ascii="Andale Mono" w:hAnsi="Andale Mono"/>
                              </w:rPr>
                            </w:pPr>
                            <w:r w:rsidRPr="0058412B">
                              <w:rPr>
                                <w:rFonts w:ascii="Andale Mono" w:hAnsi="Andale Mono"/>
                              </w:rPr>
                              <w:t xml:space="preserve">                            fs = read_bool_sensor(0x1000) ;</w:t>
                            </w:r>
                          </w:p>
                          <w:p w14:paraId="166E6D4D" w14:textId="77777777" w:rsidR="00B751CB" w:rsidRPr="0058412B" w:rsidRDefault="00B751CB" w:rsidP="0058412B">
                            <w:pPr>
                              <w:pStyle w:val="ITEABodyText"/>
                              <w:spacing w:after="0" w:line="240" w:lineRule="auto"/>
                              <w:rPr>
                                <w:rFonts w:ascii="Andale Mono" w:hAnsi="Andale Mono"/>
                              </w:rPr>
                            </w:pPr>
                            <w:r w:rsidRPr="0058412B">
                              <w:rPr>
                                <w:rFonts w:ascii="Andale Mono" w:hAnsi="Andale Mono"/>
                              </w:rPr>
                              <w:t xml:space="preserve">  </w:t>
                            </w:r>
                            <w:r w:rsidRPr="0020425B">
                              <w:rPr>
                                <w:rFonts w:ascii="Andale Mono" w:hAnsi="Andale Mono"/>
                                <w:color w:val="FF0000"/>
                              </w:rPr>
                              <w:t>partition(critical)</w:t>
                            </w:r>
                            <w:r w:rsidRPr="0058412B">
                              <w:rPr>
                                <w:rFonts w:ascii="Andale Mono" w:hAnsi="Andale Mono"/>
                              </w:rPr>
                              <w:t xml:space="preserve">       hs = read_bool_sensor(0x2000) ;</w:t>
                            </w:r>
                          </w:p>
                          <w:p w14:paraId="2563DD1E" w14:textId="77777777" w:rsidR="00B751CB" w:rsidRPr="0020425B" w:rsidRDefault="00B751CB" w:rsidP="0058412B">
                            <w:pPr>
                              <w:pStyle w:val="ITEABodyText"/>
                              <w:spacing w:after="0" w:line="240" w:lineRule="auto"/>
                              <w:rPr>
                                <w:rFonts w:ascii="Andale Mono" w:hAnsi="Andale Mono"/>
                                <w:color w:val="FF0000"/>
                              </w:rPr>
                            </w:pPr>
                            <w:r w:rsidRPr="0058412B">
                              <w:rPr>
                                <w:rFonts w:ascii="Andale Mono" w:hAnsi="Andale Mono"/>
                              </w:rPr>
                              <w:t xml:space="preserve">  </w:t>
                            </w:r>
                            <w:r w:rsidRPr="0020425B">
                              <w:rPr>
                                <w:rFonts w:ascii="Andale Mono" w:hAnsi="Andale Mono"/>
                                <w:color w:val="FF0000"/>
                              </w:rPr>
                              <w:t>partition(noncriti) deadline(0x80000)</w:t>
                            </w:r>
                          </w:p>
                          <w:p w14:paraId="03269FF1" w14:textId="77777777" w:rsidR="00B751CB" w:rsidRPr="0058412B" w:rsidRDefault="00B751CB" w:rsidP="0058412B">
                            <w:pPr>
                              <w:pStyle w:val="ITEABodyText"/>
                              <w:spacing w:after="0" w:line="240" w:lineRule="auto"/>
                              <w:rPr>
                                <w:rFonts w:ascii="Andale Mono" w:hAnsi="Andale Mono"/>
                              </w:rPr>
                            </w:pPr>
                            <w:r w:rsidRPr="0058412B">
                              <w:rPr>
                                <w:rFonts w:ascii="Andale Mono" w:hAnsi="Andale Mono"/>
                              </w:rPr>
                              <w:t xml:space="preserve">                            if hs then</w:t>
                            </w:r>
                          </w:p>
                          <w:p w14:paraId="7BD2A46F" w14:textId="7E66A8EB" w:rsidR="00B751CB" w:rsidRPr="0058412B" w:rsidRDefault="00B751CB" w:rsidP="0058412B">
                            <w:pPr>
                              <w:pStyle w:val="ITEABodyText"/>
                              <w:spacing w:after="0" w:line="240" w:lineRule="auto"/>
                              <w:rPr>
                                <w:rFonts w:ascii="Andale Mono" w:hAnsi="Andale Mono"/>
                              </w:rPr>
                            </w:pPr>
                            <w:r w:rsidRPr="0058412B">
                              <w:rPr>
                                <w:rFonts w:ascii="Andale Mono" w:hAnsi="Andale Mono"/>
                              </w:rPr>
                              <w:tab/>
                            </w:r>
                            <w:r w:rsidRPr="0058412B">
                              <w:rPr>
                                <w:rFonts w:ascii="Andale Mono" w:hAnsi="Andale Mono"/>
                              </w:rPr>
                              <w:tab/>
                            </w:r>
                            <w:r w:rsidRPr="0058412B">
                              <w:rPr>
                                <w:rFonts w:ascii="Andale Mono" w:hAnsi="Andale Mono"/>
                              </w:rPr>
                              <w:tab/>
                              <w:t xml:space="preserve">      </w:t>
                            </w:r>
                            <w:r>
                              <w:rPr>
                                <w:rFonts w:ascii="Andale Mono" w:hAnsi="Andale Mono"/>
                              </w:rPr>
                              <w:t xml:space="preserve">       </w:t>
                            </w:r>
                            <w:r w:rsidRPr="0020425B">
                              <w:rPr>
                                <w:rFonts w:ascii="Andale Mono" w:hAnsi="Andale Mono"/>
                                <w:color w:val="FF0000"/>
                              </w:rPr>
                              <w:t>preemptive</w:t>
                            </w:r>
                            <w:r w:rsidRPr="0058412B">
                              <w:rPr>
                                <w:rFonts w:ascii="Andale Mono" w:hAnsi="Andale Mono"/>
                              </w:rPr>
                              <w:t xml:space="preserve"> id = g() ;</w:t>
                            </w:r>
                          </w:p>
                          <w:p w14:paraId="5AFB25E5" w14:textId="77777777" w:rsidR="00B751CB" w:rsidRPr="0058412B" w:rsidRDefault="00B751CB" w:rsidP="0058412B">
                            <w:pPr>
                              <w:pStyle w:val="ITEABodyText"/>
                              <w:spacing w:after="0" w:line="240" w:lineRule="auto"/>
                              <w:rPr>
                                <w:rFonts w:ascii="Andale Mono" w:hAnsi="Andale Mono"/>
                              </w:rPr>
                            </w:pPr>
                            <w:r w:rsidRPr="0058412B">
                              <w:rPr>
                                <w:rFonts w:ascii="Andale Mono" w:hAnsi="Andale Mono"/>
                              </w:rPr>
                              <w:t xml:space="preserve">                            else</w:t>
                            </w:r>
                          </w:p>
                          <w:p w14:paraId="6FE99E6D" w14:textId="77777777" w:rsidR="00B751CB" w:rsidRPr="0058412B" w:rsidRDefault="00B751CB" w:rsidP="0058412B">
                            <w:pPr>
                              <w:pStyle w:val="ITEABodyText"/>
                              <w:spacing w:after="0" w:line="240" w:lineRule="auto"/>
                              <w:rPr>
                                <w:rFonts w:ascii="Andale Mono" w:hAnsi="Andale Mono"/>
                              </w:rPr>
                            </w:pPr>
                            <w:r w:rsidRPr="0058412B">
                              <w:rPr>
                                <w:rFonts w:ascii="Andale Mono" w:hAnsi="Andale Mono"/>
                              </w:rPr>
                              <w:t xml:space="preserve">                              var x,y : int; in</w:t>
                            </w:r>
                          </w:p>
                          <w:p w14:paraId="706FAC70" w14:textId="77777777" w:rsidR="00B751CB" w:rsidRPr="00211D8B" w:rsidRDefault="00B751CB" w:rsidP="0058412B">
                            <w:pPr>
                              <w:pStyle w:val="ITEABodyText"/>
                              <w:spacing w:after="0" w:line="240" w:lineRule="auto"/>
                              <w:rPr>
                                <w:rFonts w:ascii="Andale Mono" w:hAnsi="Andale Mono"/>
                                <w:lang w:val="fr-FR"/>
                              </w:rPr>
                            </w:pPr>
                            <w:r w:rsidRPr="0058412B">
                              <w:rPr>
                                <w:rFonts w:ascii="Andale Mono" w:hAnsi="Andale Mono"/>
                              </w:rPr>
                              <w:t xml:space="preserve">                                </w:t>
                            </w:r>
                            <w:r w:rsidRPr="00211D8B">
                              <w:rPr>
                                <w:rFonts w:ascii="Andale Mono" w:hAnsi="Andale Mono"/>
                                <w:lang w:val="fr-FR"/>
                              </w:rPr>
                              <w:t>y = 15 fby x ;</w:t>
                            </w:r>
                          </w:p>
                          <w:p w14:paraId="073733CF" w14:textId="77777777" w:rsidR="00B751CB" w:rsidRPr="00211D8B" w:rsidRDefault="00B751CB" w:rsidP="0058412B">
                            <w:pPr>
                              <w:pStyle w:val="ITEABodyText"/>
                              <w:spacing w:after="0" w:line="240" w:lineRule="auto"/>
                              <w:rPr>
                                <w:rFonts w:ascii="Andale Mono" w:hAnsi="Andale Mono"/>
                                <w:lang w:val="fr-FR"/>
                              </w:rPr>
                            </w:pPr>
                            <w:r w:rsidRPr="00211D8B">
                              <w:rPr>
                                <w:rFonts w:ascii="Andale Mono" w:hAnsi="Andale Mono"/>
                                <w:lang w:val="fr-FR"/>
                              </w:rPr>
                              <w:t xml:space="preserve">                         </w:t>
                            </w:r>
                            <w:r w:rsidRPr="00211D8B">
                              <w:rPr>
                                <w:rFonts w:ascii="Andale Mono" w:hAnsi="Andale Mono"/>
                                <w:lang w:val="fr-FR"/>
                              </w:rPr>
                              <w:tab/>
                              <w:t>id = f1(y) ;</w:t>
                            </w:r>
                          </w:p>
                          <w:p w14:paraId="6BCB4E0F" w14:textId="77777777" w:rsidR="00B751CB" w:rsidRPr="00000EDB" w:rsidRDefault="00B751CB" w:rsidP="0058412B">
                            <w:pPr>
                              <w:pStyle w:val="ITEABodyText"/>
                              <w:spacing w:after="0" w:line="240" w:lineRule="auto"/>
                              <w:rPr>
                                <w:rFonts w:ascii="Andale Mono" w:hAnsi="Andale Mono"/>
                                <w:lang w:val="fr-FR"/>
                              </w:rPr>
                            </w:pPr>
                            <w:r w:rsidRPr="00211D8B">
                              <w:rPr>
                                <w:rFonts w:ascii="Andale Mono" w:hAnsi="Andale Mono"/>
                                <w:lang w:val="fr-FR"/>
                              </w:rPr>
                              <w:t xml:space="preserve">                                </w:t>
                            </w:r>
                            <w:r w:rsidRPr="00000EDB">
                              <w:rPr>
                                <w:rFonts w:ascii="Andale Mono" w:hAnsi="Andale Mono"/>
                                <w:lang w:val="fr-FR"/>
                              </w:rPr>
                              <w:t>x = f2(id) ;</w:t>
                            </w:r>
                          </w:p>
                          <w:p w14:paraId="717E88B0" w14:textId="77777777" w:rsidR="00B751CB" w:rsidRPr="0058412B" w:rsidRDefault="00B751CB" w:rsidP="0058412B">
                            <w:pPr>
                              <w:pStyle w:val="ITEABodyText"/>
                              <w:spacing w:after="0" w:line="240" w:lineRule="auto"/>
                              <w:rPr>
                                <w:rFonts w:ascii="Andale Mono" w:hAnsi="Andale Mono"/>
                              </w:rPr>
                            </w:pPr>
                            <w:r w:rsidRPr="00000EDB">
                              <w:rPr>
                                <w:rFonts w:ascii="Andale Mono" w:hAnsi="Andale Mono"/>
                                <w:lang w:val="fr-FR"/>
                              </w:rPr>
                              <w:t xml:space="preserve">                            </w:t>
                            </w:r>
                            <w:r w:rsidRPr="0058412B">
                              <w:rPr>
                                <w:rFonts w:ascii="Andale Mono" w:hAnsi="Andale Mono"/>
                              </w:rPr>
                              <w:t>end ;</w:t>
                            </w:r>
                          </w:p>
                          <w:p w14:paraId="1E4EAFDE" w14:textId="77777777" w:rsidR="00B751CB" w:rsidRPr="0058412B" w:rsidRDefault="00B751CB" w:rsidP="0058412B">
                            <w:pPr>
                              <w:pStyle w:val="ITEABodyText"/>
                              <w:spacing w:after="0" w:line="240" w:lineRule="auto"/>
                              <w:rPr>
                                <w:rFonts w:ascii="Andale Mono" w:hAnsi="Andale Mono"/>
                              </w:rPr>
                            </w:pPr>
                            <w:r w:rsidRPr="0058412B">
                              <w:rPr>
                                <w:rFonts w:ascii="Andale Mono" w:hAnsi="Andale Mono"/>
                              </w:rPr>
                              <w:t xml:space="preserve">  </w:t>
                            </w:r>
                            <w:r w:rsidRPr="0020425B">
                              <w:rPr>
                                <w:rFonts w:ascii="Andale Mono" w:hAnsi="Andale Mono"/>
                                <w:color w:val="FF0000"/>
                              </w:rPr>
                              <w:t>partition(critical)</w:t>
                            </w:r>
                            <w:r w:rsidRPr="0058412B">
                              <w:rPr>
                                <w:rFonts w:ascii="Andale Mono" w:hAnsi="Andale Mono"/>
                              </w:rPr>
                              <w:t xml:space="preserve">       if fs then</w:t>
                            </w:r>
                          </w:p>
                          <w:p w14:paraId="4BBD88BA" w14:textId="77777777" w:rsidR="00B751CB" w:rsidRPr="0058412B" w:rsidRDefault="00B751CB" w:rsidP="0058412B">
                            <w:pPr>
                              <w:pStyle w:val="ITEABodyText"/>
                              <w:spacing w:after="0" w:line="240" w:lineRule="auto"/>
                              <w:rPr>
                                <w:rFonts w:ascii="Andale Mono" w:hAnsi="Andale Mono"/>
                              </w:rPr>
                            </w:pPr>
                            <w:r w:rsidRPr="0058412B">
                              <w:rPr>
                                <w:rFonts w:ascii="Andale Mono" w:hAnsi="Andale Mono"/>
                              </w:rPr>
                              <w:t xml:space="preserve">                              param = 12345 ;</w:t>
                            </w:r>
                          </w:p>
                          <w:p w14:paraId="4133206F" w14:textId="77777777" w:rsidR="00B751CB" w:rsidRPr="0058412B" w:rsidRDefault="00B751CB" w:rsidP="0058412B">
                            <w:pPr>
                              <w:pStyle w:val="ITEABodyText"/>
                              <w:spacing w:after="0" w:line="240" w:lineRule="auto"/>
                              <w:rPr>
                                <w:rFonts w:ascii="Andale Mono" w:hAnsi="Andale Mono"/>
                              </w:rPr>
                            </w:pPr>
                            <w:r w:rsidRPr="0058412B">
                              <w:rPr>
                                <w:rFonts w:ascii="Andale Mono" w:hAnsi="Andale Mono"/>
                              </w:rPr>
                              <w:t xml:space="preserve">                            else</w:t>
                            </w:r>
                          </w:p>
                          <w:p w14:paraId="61702C7F" w14:textId="77777777" w:rsidR="00B751CB" w:rsidRPr="0058412B" w:rsidRDefault="00B751CB" w:rsidP="0058412B">
                            <w:pPr>
                              <w:pStyle w:val="ITEABodyText"/>
                              <w:spacing w:after="0" w:line="240" w:lineRule="auto"/>
                              <w:rPr>
                                <w:rFonts w:ascii="Andale Mono" w:hAnsi="Andale Mono"/>
                              </w:rPr>
                            </w:pPr>
                            <w:r w:rsidRPr="0058412B">
                              <w:rPr>
                                <w:rFonts w:ascii="Andale Mono" w:hAnsi="Andale Mono"/>
                              </w:rPr>
                              <w:t xml:space="preserve">                              param = id ;</w:t>
                            </w:r>
                          </w:p>
                          <w:p w14:paraId="2767ECBD" w14:textId="77777777" w:rsidR="00B751CB" w:rsidRPr="0058412B" w:rsidRDefault="00B751CB" w:rsidP="0058412B">
                            <w:pPr>
                              <w:pStyle w:val="ITEABodyText"/>
                              <w:spacing w:after="0" w:line="240" w:lineRule="auto"/>
                              <w:rPr>
                                <w:rFonts w:ascii="Andale Mono" w:hAnsi="Andale Mono"/>
                              </w:rPr>
                            </w:pPr>
                            <w:r w:rsidRPr="0058412B">
                              <w:rPr>
                                <w:rFonts w:ascii="Andale Mono" w:hAnsi="Andale Mono"/>
                              </w:rPr>
                              <w:t xml:space="preserve">                            end ;</w:t>
                            </w:r>
                          </w:p>
                          <w:p w14:paraId="58F1D804" w14:textId="77777777" w:rsidR="00B751CB" w:rsidRPr="0058412B" w:rsidRDefault="00B751CB" w:rsidP="0058412B">
                            <w:pPr>
                              <w:pStyle w:val="ITEABodyText"/>
                              <w:spacing w:after="0" w:line="240" w:lineRule="auto"/>
                              <w:rPr>
                                <w:rFonts w:ascii="Andale Mono" w:hAnsi="Andale Mono"/>
                              </w:rPr>
                            </w:pPr>
                            <w:r w:rsidRPr="0058412B">
                              <w:rPr>
                                <w:rFonts w:ascii="Andale Mono" w:hAnsi="Andale Mono"/>
                              </w:rPr>
                              <w:t xml:space="preserve">  </w:t>
                            </w:r>
                            <w:r w:rsidRPr="0020425B">
                              <w:rPr>
                                <w:rFonts w:ascii="Andale Mono" w:hAnsi="Andale Mono"/>
                                <w:color w:val="FF0000"/>
                              </w:rPr>
                              <w:t>partition(critical)</w:t>
                            </w:r>
                            <w:r w:rsidRPr="0058412B">
                              <w:rPr>
                                <w:rFonts w:ascii="Andale Mono" w:hAnsi="Andale Mono"/>
                              </w:rPr>
                              <w:t xml:space="preserve">       () = act(param) ;</w:t>
                            </w:r>
                          </w:p>
                          <w:p w14:paraId="50F8E49F" w14:textId="77777777" w:rsidR="00B751CB" w:rsidRPr="00DD354D" w:rsidRDefault="00B751CB" w:rsidP="00155D13">
                            <w:pPr>
                              <w:pStyle w:val="ITEABodyText"/>
                              <w:rPr>
                                <w:rFonts w:ascii="Andale Mono" w:hAnsi="Andale Mono"/>
                              </w:rPr>
                            </w:pPr>
                            <w:r w:rsidRPr="0058412B">
                              <w:rPr>
                                <w:rFonts w:ascii="Andale Mono" w:hAnsi="Andale Mono"/>
                              </w:rPr>
                              <w:t>tel</w:t>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7" o:spid="_x0000_s1026" type="#_x0000_t202" style="position:absolute;left:0;text-align:left;margin-left:56.1pt;margin-top:-17.95pt;width:380.3pt;height:315.15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" filled="f" stroked="f">
                <v:textbox style="mso-fit-shape-to-text:t" inset=",7.2pt,,7.2pt">
                  <w:txbxContent>
                    <w:p w14:paraId="7193C609" w14:textId="24FADA52" w:rsidR="00B751CB" w:rsidRDefault="00B751CB" w:rsidP="0058412B">
                      <w:pPr>
                        <w:pStyle w:val="ITEABodyText"/>
                        <w:spacing w:after="0" w:line="240" w:lineRule="auto"/>
                        <w:rPr>
                          <w:rFonts w:ascii="Andale Mono" w:hAnsi="Andale Mono"/>
                        </w:rPr>
                      </w:pPr>
                      <w:r>
                        <w:rPr>
                          <w:rFonts w:ascii="Andale Mono" w:hAnsi="Andale Mono"/>
                        </w:rPr>
                        <w:t>open Externc</w:t>
                      </w:r>
                    </w:p>
                    <w:p w14:paraId="4D212920" w14:textId="77777777" w:rsidR="00B751CB" w:rsidRDefault="00B751CB" w:rsidP="0058412B">
                      <w:pPr>
                        <w:pStyle w:val="ITEABodyText"/>
                        <w:spacing w:after="0" w:line="240" w:lineRule="auto"/>
                        <w:rPr>
                          <w:rFonts w:ascii="Andale Mono" w:hAnsi="Andale Mono"/>
                        </w:rPr>
                      </w:pPr>
                    </w:p>
                    <w:p w14:paraId="68C2B0E9" w14:textId="0F7F9D40" w:rsidR="00B751CB" w:rsidRPr="0058412B" w:rsidRDefault="00B751CB" w:rsidP="0058412B">
                      <w:pPr>
                        <w:pStyle w:val="ITEABodyText"/>
                        <w:spacing w:after="0" w:line="240" w:lineRule="auto"/>
                        <w:rPr>
                          <w:rFonts w:ascii="Andale Mono" w:hAnsi="Andale Mono"/>
                        </w:rPr>
                      </w:pPr>
                      <w:r w:rsidRPr="0058412B">
                        <w:rPr>
                          <w:rFonts w:ascii="Andale Mono" w:hAnsi="Andale Mono"/>
                        </w:rPr>
                        <w:t>n</w:t>
                      </w:r>
                      <w:r>
                        <w:rPr>
                          <w:rFonts w:ascii="Andale Mono" w:hAnsi="Andale Mono"/>
                        </w:rPr>
                        <w:t xml:space="preserve">ode </w:t>
                      </w:r>
                      <w:r w:rsidRPr="0020425B">
                        <w:rPr>
                          <w:rFonts w:ascii="Andale Mono" w:hAnsi="Andale Mono"/>
                        </w:rPr>
                        <w:t xml:space="preserve">main </w:t>
                      </w:r>
                      <w:r w:rsidRPr="0020425B">
                        <w:rPr>
                          <w:rFonts w:ascii="Andale Mono" w:hAnsi="Andale Mono"/>
                          <w:color w:val="FF0000"/>
                        </w:rPr>
                        <w:t>perio</w:t>
                      </w:r>
                      <w:r>
                        <w:rPr>
                          <w:rFonts w:ascii="Andale Mono" w:hAnsi="Andale Mono"/>
                          <w:color w:val="FF0000"/>
                        </w:rPr>
                        <w:t>d(0x100000</w:t>
                      </w:r>
                      <w:r w:rsidRPr="0020425B">
                        <w:rPr>
                          <w:rFonts w:ascii="Andale Mono" w:hAnsi="Andale Mono"/>
                          <w:color w:val="FF0000"/>
                        </w:rPr>
                        <w:t>)</w:t>
                      </w:r>
                      <w:r w:rsidRPr="0020425B">
                        <w:rPr>
                          <w:rFonts w:ascii="Andale Mono" w:hAnsi="Andale Mono"/>
                        </w:rPr>
                        <w:t xml:space="preserve"> () returns</w:t>
                      </w:r>
                      <w:r w:rsidRPr="0058412B">
                        <w:rPr>
                          <w:rFonts w:ascii="Andale Mono" w:hAnsi="Andale Mono"/>
                        </w:rPr>
                        <w:t xml:space="preserve"> () </w:t>
                      </w:r>
                    </w:p>
                    <w:p w14:paraId="1009B6E2" w14:textId="77777777" w:rsidR="00B751CB" w:rsidRPr="0058412B" w:rsidRDefault="00B751CB" w:rsidP="0058412B">
                      <w:pPr>
                        <w:pStyle w:val="ITEABodyText"/>
                        <w:spacing w:after="0" w:line="240" w:lineRule="auto"/>
                        <w:rPr>
                          <w:rFonts w:ascii="Andale Mono" w:hAnsi="Andale Mono"/>
                        </w:rPr>
                      </w:pPr>
                      <w:r w:rsidRPr="0058412B">
                        <w:rPr>
                          <w:rFonts w:ascii="Andale Mono" w:hAnsi="Andale Mono"/>
                        </w:rPr>
                        <w:t>var</w:t>
                      </w:r>
                    </w:p>
                    <w:p w14:paraId="5FB9C694" w14:textId="77777777" w:rsidR="00B751CB" w:rsidRPr="0058412B" w:rsidRDefault="00B751CB" w:rsidP="0058412B">
                      <w:pPr>
                        <w:pStyle w:val="ITEABodyText"/>
                        <w:spacing w:after="0" w:line="240" w:lineRule="auto"/>
                        <w:rPr>
                          <w:rFonts w:ascii="Andale Mono" w:hAnsi="Andale Mono"/>
                        </w:rPr>
                      </w:pPr>
                      <w:r w:rsidRPr="0058412B">
                        <w:rPr>
                          <w:rFonts w:ascii="Andale Mono" w:hAnsi="Andale Mono"/>
                        </w:rPr>
                        <w:t xml:space="preserve">  fs, hs: bool ;</w:t>
                      </w:r>
                    </w:p>
                    <w:p w14:paraId="75040ABB" w14:textId="77777777" w:rsidR="00B751CB" w:rsidRPr="0058412B" w:rsidRDefault="00B751CB" w:rsidP="0058412B">
                      <w:pPr>
                        <w:pStyle w:val="ITEABodyText"/>
                        <w:spacing w:after="0" w:line="240" w:lineRule="auto"/>
                        <w:rPr>
                          <w:rFonts w:ascii="Andale Mono" w:hAnsi="Andale Mono"/>
                        </w:rPr>
                      </w:pPr>
                      <w:r w:rsidRPr="0058412B">
                        <w:rPr>
                          <w:rFonts w:ascii="Andale Mono" w:hAnsi="Andale Mono"/>
                        </w:rPr>
                        <w:t xml:space="preserve">  id, param: int ;</w:t>
                      </w:r>
                    </w:p>
                    <w:p w14:paraId="371CA883" w14:textId="77777777" w:rsidR="00B751CB" w:rsidRPr="0058412B" w:rsidRDefault="00B751CB" w:rsidP="0058412B">
                      <w:pPr>
                        <w:pStyle w:val="ITEABodyText"/>
                        <w:spacing w:after="0" w:line="240" w:lineRule="auto"/>
                        <w:rPr>
                          <w:rFonts w:ascii="Andale Mono" w:hAnsi="Andale Mono"/>
                        </w:rPr>
                      </w:pPr>
                      <w:r w:rsidRPr="0058412B">
                        <w:rPr>
                          <w:rFonts w:ascii="Andale Mono" w:hAnsi="Andale Mono"/>
                        </w:rPr>
                        <w:t>let</w:t>
                      </w:r>
                    </w:p>
                    <w:p w14:paraId="617977BD" w14:textId="77777777" w:rsidR="00B751CB" w:rsidRPr="0020425B" w:rsidRDefault="00B751CB" w:rsidP="0058412B">
                      <w:pPr>
                        <w:pStyle w:val="ITEABodyText"/>
                        <w:spacing w:after="0" w:line="240" w:lineRule="auto"/>
                        <w:rPr>
                          <w:rFonts w:ascii="Andale Mono" w:hAnsi="Andale Mono"/>
                          <w:color w:val="FF0000"/>
                        </w:rPr>
                      </w:pPr>
                      <w:r w:rsidRPr="0058412B">
                        <w:rPr>
                          <w:rFonts w:ascii="Andale Mono" w:hAnsi="Andale Mono"/>
                        </w:rPr>
                        <w:t xml:space="preserve">  </w:t>
                      </w:r>
                      <w:r w:rsidRPr="0020425B">
                        <w:rPr>
                          <w:rFonts w:ascii="Andale Mono" w:hAnsi="Andale Mono"/>
                          <w:color w:val="FF0000"/>
                        </w:rPr>
                        <w:t>partition(critical) release(0x80000)</w:t>
                      </w:r>
                    </w:p>
                    <w:p w14:paraId="0BF378D0" w14:textId="77777777" w:rsidR="00B751CB" w:rsidRPr="0058412B" w:rsidRDefault="00B751CB" w:rsidP="0058412B">
                      <w:pPr>
                        <w:pStyle w:val="ITEABodyText"/>
                        <w:spacing w:after="0" w:line="240" w:lineRule="auto"/>
                        <w:rPr>
                          <w:rFonts w:ascii="Andale Mono" w:hAnsi="Andale Mono"/>
                        </w:rPr>
                      </w:pPr>
                      <w:r w:rsidRPr="0058412B">
                        <w:rPr>
                          <w:rFonts w:ascii="Andale Mono" w:hAnsi="Andale Mono"/>
                        </w:rPr>
                        <w:t xml:space="preserve">                            fs = read_bool_sensor(0x1000) ;</w:t>
                      </w:r>
                    </w:p>
                    <w:p w14:paraId="166E6D4D" w14:textId="77777777" w:rsidR="00B751CB" w:rsidRPr="0058412B" w:rsidRDefault="00B751CB" w:rsidP="0058412B">
                      <w:pPr>
                        <w:pStyle w:val="ITEABodyText"/>
                        <w:spacing w:after="0" w:line="240" w:lineRule="auto"/>
                        <w:rPr>
                          <w:rFonts w:ascii="Andale Mono" w:hAnsi="Andale Mono"/>
                        </w:rPr>
                      </w:pPr>
                      <w:r w:rsidRPr="0058412B">
                        <w:rPr>
                          <w:rFonts w:ascii="Andale Mono" w:hAnsi="Andale Mono"/>
                        </w:rPr>
                        <w:t xml:space="preserve">  </w:t>
                      </w:r>
                      <w:r w:rsidRPr="0020425B">
                        <w:rPr>
                          <w:rFonts w:ascii="Andale Mono" w:hAnsi="Andale Mono"/>
                          <w:color w:val="FF0000"/>
                        </w:rPr>
                        <w:t>partition(critical)</w:t>
                      </w:r>
                      <w:r w:rsidRPr="0058412B">
                        <w:rPr>
                          <w:rFonts w:ascii="Andale Mono" w:hAnsi="Andale Mono"/>
                        </w:rPr>
                        <w:t xml:space="preserve">       hs = read_bool_sensor(0x2000) ;</w:t>
                      </w:r>
                    </w:p>
                    <w:p w14:paraId="2563DD1E" w14:textId="77777777" w:rsidR="00B751CB" w:rsidRPr="0020425B" w:rsidRDefault="00B751CB" w:rsidP="0058412B">
                      <w:pPr>
                        <w:pStyle w:val="ITEABodyText"/>
                        <w:spacing w:after="0" w:line="240" w:lineRule="auto"/>
                        <w:rPr>
                          <w:rFonts w:ascii="Andale Mono" w:hAnsi="Andale Mono"/>
                          <w:color w:val="FF0000"/>
                        </w:rPr>
                      </w:pPr>
                      <w:r w:rsidRPr="0058412B">
                        <w:rPr>
                          <w:rFonts w:ascii="Andale Mono" w:hAnsi="Andale Mono"/>
                        </w:rPr>
                        <w:t xml:space="preserve">  </w:t>
                      </w:r>
                      <w:r w:rsidRPr="0020425B">
                        <w:rPr>
                          <w:rFonts w:ascii="Andale Mono" w:hAnsi="Andale Mono"/>
                          <w:color w:val="FF0000"/>
                        </w:rPr>
                        <w:t>partition(noncriti) deadline(0x80000)</w:t>
                      </w:r>
                    </w:p>
                    <w:p w14:paraId="03269FF1" w14:textId="77777777" w:rsidR="00B751CB" w:rsidRPr="0058412B" w:rsidRDefault="00B751CB" w:rsidP="0058412B">
                      <w:pPr>
                        <w:pStyle w:val="ITEABodyText"/>
                        <w:spacing w:after="0" w:line="240" w:lineRule="auto"/>
                        <w:rPr>
                          <w:rFonts w:ascii="Andale Mono" w:hAnsi="Andale Mono"/>
                        </w:rPr>
                      </w:pPr>
                      <w:r w:rsidRPr="0058412B">
                        <w:rPr>
                          <w:rFonts w:ascii="Andale Mono" w:hAnsi="Andale Mono"/>
                        </w:rPr>
                        <w:t xml:space="preserve">                            if hs then</w:t>
                      </w:r>
                    </w:p>
                    <w:p w14:paraId="7BD2A46F" w14:textId="7E66A8EB" w:rsidR="00B751CB" w:rsidRPr="0058412B" w:rsidRDefault="00B751CB" w:rsidP="0058412B">
                      <w:pPr>
                        <w:pStyle w:val="ITEABodyText"/>
                        <w:spacing w:after="0" w:line="240" w:lineRule="auto"/>
                        <w:rPr>
                          <w:rFonts w:ascii="Andale Mono" w:hAnsi="Andale Mono"/>
                        </w:rPr>
                      </w:pPr>
                      <w:r w:rsidRPr="0058412B">
                        <w:rPr>
                          <w:rFonts w:ascii="Andale Mono" w:hAnsi="Andale Mono"/>
                        </w:rPr>
                        <w:tab/>
                      </w:r>
                      <w:r w:rsidRPr="0058412B">
                        <w:rPr>
                          <w:rFonts w:ascii="Andale Mono" w:hAnsi="Andale Mono"/>
                        </w:rPr>
                        <w:tab/>
                      </w:r>
                      <w:r w:rsidRPr="0058412B">
                        <w:rPr>
                          <w:rFonts w:ascii="Andale Mono" w:hAnsi="Andale Mono"/>
                        </w:rPr>
                        <w:tab/>
                        <w:t xml:space="preserve">      </w:t>
                      </w:r>
                      <w:r>
                        <w:rPr>
                          <w:rFonts w:ascii="Andale Mono" w:hAnsi="Andale Mono"/>
                        </w:rPr>
                        <w:t xml:space="preserve">       </w:t>
                      </w:r>
                      <w:r w:rsidRPr="0020425B">
                        <w:rPr>
                          <w:rFonts w:ascii="Andale Mono" w:hAnsi="Andale Mono"/>
                          <w:color w:val="FF0000"/>
                        </w:rPr>
                        <w:t>preemptive</w:t>
                      </w:r>
                      <w:r w:rsidRPr="0058412B">
                        <w:rPr>
                          <w:rFonts w:ascii="Andale Mono" w:hAnsi="Andale Mono"/>
                        </w:rPr>
                        <w:t xml:space="preserve"> id = g() ;</w:t>
                      </w:r>
                    </w:p>
                    <w:p w14:paraId="5AFB25E5" w14:textId="77777777" w:rsidR="00B751CB" w:rsidRPr="0058412B" w:rsidRDefault="00B751CB" w:rsidP="0058412B">
                      <w:pPr>
                        <w:pStyle w:val="ITEABodyText"/>
                        <w:spacing w:after="0" w:line="240" w:lineRule="auto"/>
                        <w:rPr>
                          <w:rFonts w:ascii="Andale Mono" w:hAnsi="Andale Mono"/>
                        </w:rPr>
                      </w:pPr>
                      <w:r w:rsidRPr="0058412B">
                        <w:rPr>
                          <w:rFonts w:ascii="Andale Mono" w:hAnsi="Andale Mono"/>
                        </w:rPr>
                        <w:t xml:space="preserve">                            else</w:t>
                      </w:r>
                    </w:p>
                    <w:p w14:paraId="6FE99E6D" w14:textId="77777777" w:rsidR="00B751CB" w:rsidRPr="0058412B" w:rsidRDefault="00B751CB" w:rsidP="0058412B">
                      <w:pPr>
                        <w:pStyle w:val="ITEABodyText"/>
                        <w:spacing w:after="0" w:line="240" w:lineRule="auto"/>
                        <w:rPr>
                          <w:rFonts w:ascii="Andale Mono" w:hAnsi="Andale Mono"/>
                        </w:rPr>
                      </w:pPr>
                      <w:r w:rsidRPr="0058412B">
                        <w:rPr>
                          <w:rFonts w:ascii="Andale Mono" w:hAnsi="Andale Mono"/>
                        </w:rPr>
                        <w:t xml:space="preserve">                              var x,y : int; in</w:t>
                      </w:r>
                    </w:p>
                    <w:p w14:paraId="706FAC70" w14:textId="77777777" w:rsidR="00B751CB" w:rsidRPr="00211D8B" w:rsidRDefault="00B751CB" w:rsidP="0058412B">
                      <w:pPr>
                        <w:pStyle w:val="ITEABodyText"/>
                        <w:spacing w:after="0" w:line="240" w:lineRule="auto"/>
                        <w:rPr>
                          <w:rFonts w:ascii="Andale Mono" w:hAnsi="Andale Mono"/>
                          <w:lang w:val="fr-FR"/>
                        </w:rPr>
                      </w:pPr>
                      <w:r w:rsidRPr="0058412B">
                        <w:rPr>
                          <w:rFonts w:ascii="Andale Mono" w:hAnsi="Andale Mono"/>
                        </w:rPr>
                        <w:t xml:space="preserve">                                </w:t>
                      </w:r>
                      <w:r w:rsidRPr="00211D8B">
                        <w:rPr>
                          <w:rFonts w:ascii="Andale Mono" w:hAnsi="Andale Mono"/>
                          <w:lang w:val="fr-FR"/>
                        </w:rPr>
                        <w:t>y = 15 fby x ;</w:t>
                      </w:r>
                    </w:p>
                    <w:p w14:paraId="073733CF" w14:textId="77777777" w:rsidR="00B751CB" w:rsidRPr="00211D8B" w:rsidRDefault="00B751CB" w:rsidP="0058412B">
                      <w:pPr>
                        <w:pStyle w:val="ITEABodyText"/>
                        <w:spacing w:after="0" w:line="240" w:lineRule="auto"/>
                        <w:rPr>
                          <w:rFonts w:ascii="Andale Mono" w:hAnsi="Andale Mono"/>
                          <w:lang w:val="fr-FR"/>
                        </w:rPr>
                      </w:pPr>
                      <w:r w:rsidRPr="00211D8B">
                        <w:rPr>
                          <w:rFonts w:ascii="Andale Mono" w:hAnsi="Andale Mono"/>
                          <w:lang w:val="fr-FR"/>
                        </w:rPr>
                        <w:t xml:space="preserve">                         </w:t>
                      </w:r>
                      <w:r w:rsidRPr="00211D8B">
                        <w:rPr>
                          <w:rFonts w:ascii="Andale Mono" w:hAnsi="Andale Mono"/>
                          <w:lang w:val="fr-FR"/>
                        </w:rPr>
                        <w:tab/>
                        <w:t>id = f1(y) ;</w:t>
                      </w:r>
                    </w:p>
                    <w:p w14:paraId="6BCB4E0F" w14:textId="77777777" w:rsidR="00B751CB" w:rsidRPr="00000EDB" w:rsidRDefault="00B751CB" w:rsidP="0058412B">
                      <w:pPr>
                        <w:pStyle w:val="ITEABodyText"/>
                        <w:spacing w:after="0" w:line="240" w:lineRule="auto"/>
                        <w:rPr>
                          <w:rFonts w:ascii="Andale Mono" w:hAnsi="Andale Mono"/>
                          <w:lang w:val="fr-FR"/>
                        </w:rPr>
                      </w:pPr>
                      <w:r w:rsidRPr="00211D8B">
                        <w:rPr>
                          <w:rFonts w:ascii="Andale Mono" w:hAnsi="Andale Mono"/>
                          <w:lang w:val="fr-FR"/>
                        </w:rPr>
                        <w:t xml:space="preserve">                                </w:t>
                      </w:r>
                      <w:r w:rsidRPr="00000EDB">
                        <w:rPr>
                          <w:rFonts w:ascii="Andale Mono" w:hAnsi="Andale Mono"/>
                          <w:lang w:val="fr-FR"/>
                        </w:rPr>
                        <w:t>x = f2(id) ;</w:t>
                      </w:r>
                    </w:p>
                    <w:p w14:paraId="717E88B0" w14:textId="77777777" w:rsidR="00B751CB" w:rsidRPr="0058412B" w:rsidRDefault="00B751CB" w:rsidP="0058412B">
                      <w:pPr>
                        <w:pStyle w:val="ITEABodyText"/>
                        <w:spacing w:after="0" w:line="240" w:lineRule="auto"/>
                        <w:rPr>
                          <w:rFonts w:ascii="Andale Mono" w:hAnsi="Andale Mono"/>
                        </w:rPr>
                      </w:pPr>
                      <w:r w:rsidRPr="00000EDB">
                        <w:rPr>
                          <w:rFonts w:ascii="Andale Mono" w:hAnsi="Andale Mono"/>
                          <w:lang w:val="fr-FR"/>
                        </w:rPr>
                        <w:t xml:space="preserve">                            </w:t>
                      </w:r>
                      <w:r w:rsidRPr="0058412B">
                        <w:rPr>
                          <w:rFonts w:ascii="Andale Mono" w:hAnsi="Andale Mono"/>
                        </w:rPr>
                        <w:t>end ;</w:t>
                      </w:r>
                    </w:p>
                    <w:p w14:paraId="1E4EAFDE" w14:textId="77777777" w:rsidR="00B751CB" w:rsidRPr="0058412B" w:rsidRDefault="00B751CB" w:rsidP="0058412B">
                      <w:pPr>
                        <w:pStyle w:val="ITEABodyText"/>
                        <w:spacing w:after="0" w:line="240" w:lineRule="auto"/>
                        <w:rPr>
                          <w:rFonts w:ascii="Andale Mono" w:hAnsi="Andale Mono"/>
                        </w:rPr>
                      </w:pPr>
                      <w:r w:rsidRPr="0058412B">
                        <w:rPr>
                          <w:rFonts w:ascii="Andale Mono" w:hAnsi="Andale Mono"/>
                        </w:rPr>
                        <w:t xml:space="preserve">  </w:t>
                      </w:r>
                      <w:r w:rsidRPr="0020425B">
                        <w:rPr>
                          <w:rFonts w:ascii="Andale Mono" w:hAnsi="Andale Mono"/>
                          <w:color w:val="FF0000"/>
                        </w:rPr>
                        <w:t>partition(critical)</w:t>
                      </w:r>
                      <w:r w:rsidRPr="0058412B">
                        <w:rPr>
                          <w:rFonts w:ascii="Andale Mono" w:hAnsi="Andale Mono"/>
                        </w:rPr>
                        <w:t xml:space="preserve">       if fs then</w:t>
                      </w:r>
                    </w:p>
                    <w:p w14:paraId="4BBD88BA" w14:textId="77777777" w:rsidR="00B751CB" w:rsidRPr="0058412B" w:rsidRDefault="00B751CB" w:rsidP="0058412B">
                      <w:pPr>
                        <w:pStyle w:val="ITEABodyText"/>
                        <w:spacing w:after="0" w:line="240" w:lineRule="auto"/>
                        <w:rPr>
                          <w:rFonts w:ascii="Andale Mono" w:hAnsi="Andale Mono"/>
                        </w:rPr>
                      </w:pPr>
                      <w:r w:rsidRPr="0058412B">
                        <w:rPr>
                          <w:rFonts w:ascii="Andale Mono" w:hAnsi="Andale Mono"/>
                        </w:rPr>
                        <w:t xml:space="preserve">                              param = 12345 ;</w:t>
                      </w:r>
                    </w:p>
                    <w:p w14:paraId="4133206F" w14:textId="77777777" w:rsidR="00B751CB" w:rsidRPr="0058412B" w:rsidRDefault="00B751CB" w:rsidP="0058412B">
                      <w:pPr>
                        <w:pStyle w:val="ITEABodyText"/>
                        <w:spacing w:after="0" w:line="240" w:lineRule="auto"/>
                        <w:rPr>
                          <w:rFonts w:ascii="Andale Mono" w:hAnsi="Andale Mono"/>
                        </w:rPr>
                      </w:pPr>
                      <w:r w:rsidRPr="0058412B">
                        <w:rPr>
                          <w:rFonts w:ascii="Andale Mono" w:hAnsi="Andale Mono"/>
                        </w:rPr>
                        <w:t xml:space="preserve">                            else</w:t>
                      </w:r>
                    </w:p>
                    <w:p w14:paraId="61702C7F" w14:textId="77777777" w:rsidR="00B751CB" w:rsidRPr="0058412B" w:rsidRDefault="00B751CB" w:rsidP="0058412B">
                      <w:pPr>
                        <w:pStyle w:val="ITEABodyText"/>
                        <w:spacing w:after="0" w:line="240" w:lineRule="auto"/>
                        <w:rPr>
                          <w:rFonts w:ascii="Andale Mono" w:hAnsi="Andale Mono"/>
                        </w:rPr>
                      </w:pPr>
                      <w:r w:rsidRPr="0058412B">
                        <w:rPr>
                          <w:rFonts w:ascii="Andale Mono" w:hAnsi="Andale Mono"/>
                        </w:rPr>
                        <w:t xml:space="preserve">                              param = id ;</w:t>
                      </w:r>
                    </w:p>
                    <w:p w14:paraId="2767ECBD" w14:textId="77777777" w:rsidR="00B751CB" w:rsidRPr="0058412B" w:rsidRDefault="00B751CB" w:rsidP="0058412B">
                      <w:pPr>
                        <w:pStyle w:val="ITEABodyText"/>
                        <w:spacing w:after="0" w:line="240" w:lineRule="auto"/>
                        <w:rPr>
                          <w:rFonts w:ascii="Andale Mono" w:hAnsi="Andale Mono"/>
                        </w:rPr>
                      </w:pPr>
                      <w:r w:rsidRPr="0058412B">
                        <w:rPr>
                          <w:rFonts w:ascii="Andale Mono" w:hAnsi="Andale Mono"/>
                        </w:rPr>
                        <w:t xml:space="preserve">                            end ;</w:t>
                      </w:r>
                    </w:p>
                    <w:p w14:paraId="58F1D804" w14:textId="77777777" w:rsidR="00B751CB" w:rsidRPr="0058412B" w:rsidRDefault="00B751CB" w:rsidP="0058412B">
                      <w:pPr>
                        <w:pStyle w:val="ITEABodyText"/>
                        <w:spacing w:after="0" w:line="240" w:lineRule="auto"/>
                        <w:rPr>
                          <w:rFonts w:ascii="Andale Mono" w:hAnsi="Andale Mono"/>
                        </w:rPr>
                      </w:pPr>
                      <w:r w:rsidRPr="0058412B">
                        <w:rPr>
                          <w:rFonts w:ascii="Andale Mono" w:hAnsi="Andale Mono"/>
                        </w:rPr>
                        <w:t xml:space="preserve">  </w:t>
                      </w:r>
                      <w:r w:rsidRPr="0020425B">
                        <w:rPr>
                          <w:rFonts w:ascii="Andale Mono" w:hAnsi="Andale Mono"/>
                          <w:color w:val="FF0000"/>
                        </w:rPr>
                        <w:t>partition(critical)</w:t>
                      </w:r>
                      <w:r w:rsidRPr="0058412B">
                        <w:rPr>
                          <w:rFonts w:ascii="Andale Mono" w:hAnsi="Andale Mono"/>
                        </w:rPr>
                        <w:t xml:space="preserve">       () = act(param) ;</w:t>
                      </w:r>
                    </w:p>
                    <w:p w14:paraId="50F8E49F" w14:textId="77777777" w:rsidR="00B751CB" w:rsidRPr="00DD354D" w:rsidRDefault="00B751CB" w:rsidP="00155D13">
                      <w:pPr>
                        <w:pStyle w:val="ITEABodyText"/>
                        <w:rPr>
                          <w:rFonts w:ascii="Andale Mono" w:hAnsi="Andale Mono"/>
                        </w:rPr>
                      </w:pPr>
                      <w:r w:rsidRPr="0058412B">
                        <w:rPr>
                          <w:rFonts w:ascii="Andale Mono" w:hAnsi="Andale Mono"/>
                        </w:rPr>
                        <w:t>tel</w:t>
                      </w:r>
                    </w:p>
                  </w:txbxContent>
                </v:textbox>
                <w10:wrap type="square"/>
              </v:shape>
            </w:pict>
          </mc:Fallback>
        </mc:AlternateContent>
      </w:r>
    </w:p>
    <w:p w14:paraId="34F3F498" w14:textId="77777777" w:rsidR="004266A0" w:rsidRDefault="004266A0" w:rsidP="00B75D7B">
      <w:pPr>
        <w:pStyle w:val="ITEABodyText"/>
      </w:pPr>
    </w:p>
    <w:p w14:paraId="0DFB468F" w14:textId="19BEACCC" w:rsidR="004266A0" w:rsidRDefault="004266A0" w:rsidP="00B75D7B">
      <w:pPr>
        <w:pStyle w:val="ITEABodyText"/>
      </w:pPr>
    </w:p>
    <w:p w14:paraId="7BCE9F88" w14:textId="5427EC3B" w:rsidR="004266A0" w:rsidRDefault="004266A0" w:rsidP="00B75D7B">
      <w:pPr>
        <w:pStyle w:val="ITEABodyText"/>
      </w:pPr>
    </w:p>
    <w:p w14:paraId="40CB1E77" w14:textId="0FCC077B" w:rsidR="004266A0" w:rsidRDefault="004266A0" w:rsidP="00B75D7B">
      <w:pPr>
        <w:pStyle w:val="ITEABodyText"/>
      </w:pPr>
    </w:p>
    <w:p w14:paraId="4B5C9106" w14:textId="63B2209B" w:rsidR="004266A0" w:rsidRDefault="004266A0" w:rsidP="00B75D7B">
      <w:pPr>
        <w:pStyle w:val="ITEABodyText"/>
      </w:pPr>
    </w:p>
    <w:p w14:paraId="2B278BEA" w14:textId="239CC215" w:rsidR="004266A0" w:rsidRDefault="004266A0" w:rsidP="00B75D7B">
      <w:pPr>
        <w:pStyle w:val="ITEABodyText"/>
      </w:pPr>
    </w:p>
    <w:p w14:paraId="23A50574" w14:textId="00DB8092" w:rsidR="00B75D7B" w:rsidRDefault="00B75D7B" w:rsidP="00B75D7B">
      <w:pPr>
        <w:pStyle w:val="ITEABodyText"/>
      </w:pPr>
    </w:p>
    <w:p w14:paraId="0CCEF1DC" w14:textId="78A23905" w:rsidR="00B75D7B" w:rsidRDefault="00B75D7B" w:rsidP="00B75D7B">
      <w:pPr>
        <w:pStyle w:val="ITEABodyText"/>
      </w:pPr>
    </w:p>
    <w:p w14:paraId="7A2139AB" w14:textId="77777777" w:rsidR="00B75D7B" w:rsidRDefault="00B75D7B" w:rsidP="00B75D7B">
      <w:pPr>
        <w:pStyle w:val="ITEABodyText"/>
      </w:pPr>
    </w:p>
    <w:p w14:paraId="67AE5087" w14:textId="77777777" w:rsidR="00B75D7B" w:rsidRDefault="00B75D7B" w:rsidP="00B75D7B">
      <w:pPr>
        <w:pStyle w:val="ITEABodyText"/>
      </w:pPr>
    </w:p>
    <w:p w14:paraId="09C14659" w14:textId="2923AE7E" w:rsidR="00B75D7B" w:rsidRDefault="00B75D7B" w:rsidP="00B55F7D">
      <w:pPr>
        <w:pStyle w:val="ITEAHeading2"/>
        <w:numPr>
          <w:ilvl w:val="0"/>
          <w:numId w:val="0"/>
        </w:numPr>
      </w:pPr>
    </w:p>
    <w:p w14:paraId="60F2D50B" w14:textId="7FE01BEE" w:rsidR="00B75D7B" w:rsidRPr="00B75D7B" w:rsidRDefault="00366199" w:rsidP="00B75D7B">
      <w:pPr>
        <w:pStyle w:val="ITEABodyText"/>
      </w:pPr>
      <w:r>
        <w:rPr>
          <w:noProof/>
          <w:lang w:val="en-US" w:eastAsia="en-US"/>
        </w:rPr>
        <mc:AlternateContent>
          <mc:Choice Requires="wps">
            <w:drawing>
              <wp:anchor distT="0" distB="0" distL="114300" distR="114300" simplePos="0" relativeHeight="251673088" behindDoc="0" locked="0" layoutInCell="1" allowOverlap="1" wp14:anchorId="019987D8" wp14:editId="33A11B4E">
                <wp:simplePos x="0" y="0"/>
                <wp:positionH relativeFrom="column">
                  <wp:posOffset>712470</wp:posOffset>
                </wp:positionH>
                <wp:positionV relativeFrom="paragraph">
                  <wp:posOffset>580390</wp:posOffset>
                </wp:positionV>
                <wp:extent cx="4829810" cy="564515"/>
                <wp:effectExtent l="0" t="0" r="21590" b="19685"/>
                <wp:wrapSquare wrapText="bothSides"/>
                <wp:docPr id="2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810" cy="56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D0F9B" w14:textId="6FA520C7" w:rsidR="00B751CB" w:rsidRPr="00E4536C" w:rsidRDefault="00B751CB" w:rsidP="0058412B">
                            <w:pPr>
                              <w:pStyle w:val="Caption"/>
                              <w:rPr>
                                <w:noProof/>
                                <w:color w:val="000000" w:themeColor="text1"/>
                                <w:spacing w:val="4"/>
                                <w:lang w:val="en-US" w:eastAsia="en-US"/>
                              </w:rPr>
                            </w:pPr>
                            <w:r>
                              <w:t>Figure 5. Example of Heptagon+NFP integration specification with non-functional annotations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19987D8" id="Text Box 38" o:spid="_x0000_s1027" type="#_x0000_t202" style="position:absolute;left:0;text-align:left;margin-left:56.1pt;margin-top:45.7pt;width:380.3pt;height:44.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" filled="f" stroked="f">
                <v:textbox style="mso-fit-shape-to-text:t" inset="0,0,0,0">
                  <w:txbxContent>
                    <w:p w14:paraId="79FD0F9B" w14:textId="6FA520C7" w:rsidR="00EC1616" w:rsidRPr="00E4536C" w:rsidRDefault="00EC1616" w:rsidP="0058412B">
                      <w:pPr>
                        <w:pStyle w:val="Lgende"/>
                        <w:rPr>
                          <w:noProof/>
                          <w:color w:val="000000" w:themeColor="text1"/>
                          <w:spacing w:val="4"/>
                          <w:lang w:val="en-US" w:eastAsia="en-US"/>
                        </w:rPr>
                      </w:pPr>
                      <w:r>
                        <w:t xml:space="preserve">Figure 5. Example of </w:t>
                      </w:r>
                      <w:r>
                        <w:t>Heptagon+NFP integration specification with non-functional annotations</w:t>
                      </w:r>
                    </w:p>
                  </w:txbxContent>
                </v:textbox>
                <w10:wrap type="square"/>
              </v:shape>
            </w:pict>
          </mc:Fallback>
        </mc:AlternateContent>
      </w:r>
    </w:p>
    <w:p w14:paraId="369FD0D3" w14:textId="77777777" w:rsidR="00A879D0" w:rsidRPr="002E797D" w:rsidRDefault="00A879D0" w:rsidP="002E797D">
      <w:pPr>
        <w:pStyle w:val="ITEAHeading1"/>
      </w:pPr>
      <w:bookmarkStart w:id="37" w:name="_Toc398225058"/>
      <w:r w:rsidRPr="002E797D">
        <w:lastRenderedPageBreak/>
        <w:t>Fault tolerant vision</w:t>
      </w:r>
      <w:r w:rsidR="000777BB" w:rsidRPr="002E797D">
        <w:t xml:space="preserve"> cluster</w:t>
      </w:r>
      <w:bookmarkEnd w:id="37"/>
    </w:p>
    <w:p w14:paraId="100AFDB4" w14:textId="37EDE464" w:rsidR="006A0EA3" w:rsidRPr="006A0EA3" w:rsidRDefault="006A0EA3" w:rsidP="006A0EA3">
      <w:pPr>
        <w:pStyle w:val="ITEABodyText"/>
      </w:pPr>
      <w:r w:rsidRPr="006A0EA3">
        <w:t>The participants in the fault tolerant vision cluster (Recore, NXP, UT, Tue) work</w:t>
      </w:r>
      <w:r w:rsidR="00300582">
        <w:t>ed</w:t>
      </w:r>
      <w:r w:rsidRPr="006A0EA3">
        <w:t xml:space="preserve"> on the creation of hardware components and analysis techniques for vision systems</w:t>
      </w:r>
      <w:r w:rsidR="00300582">
        <w:t>.</w:t>
      </w:r>
      <w:r w:rsidRPr="006A0EA3">
        <w:t xml:space="preserve"> </w:t>
      </w:r>
      <w:r w:rsidR="00300582">
        <w:t>C</w:t>
      </w:r>
      <w:r w:rsidRPr="006A0EA3">
        <w:t xml:space="preserve">ar-radar systems are </w:t>
      </w:r>
      <w:r w:rsidR="00300582">
        <w:t xml:space="preserve">also </w:t>
      </w:r>
      <w:r w:rsidRPr="006A0EA3">
        <w:t>considered.</w:t>
      </w:r>
    </w:p>
    <w:p w14:paraId="10B38F0D" w14:textId="77777777" w:rsidR="006A0EA3" w:rsidRPr="006A0EA3" w:rsidRDefault="006A0EA3" w:rsidP="006A0EA3">
      <w:pPr>
        <w:pStyle w:val="ITEABodyText"/>
      </w:pPr>
      <w:r w:rsidRPr="006A0EA3">
        <w:t>Concerning the hardware components the main focus is on fault tolerant processor design. The first step taken was to determine the vulnerability of the different components in a processor. The next step will be the selective introduction of redundancy to detect and correct errors. Furthermore, a technique based on role-back and re-computation at the software level is considered.</w:t>
      </w:r>
    </w:p>
    <w:p w14:paraId="3D7D5C83" w14:textId="3439D2EA" w:rsidR="006A0EA3" w:rsidRDefault="006A0EA3" w:rsidP="00482002">
      <w:pPr>
        <w:pStyle w:val="ITEABodyText"/>
      </w:pPr>
      <w:r w:rsidRPr="006A0EA3">
        <w:t xml:space="preserve">To relax the temporal requirements more robust state estimation and control techniques are under development in the cluster.  Concerning state-estimation a particle-filter based approach is explored which can deal well with the non-linear behaviour that is a result of non-periodic sampling. This particle filter based state estimation is relevant for video and radar object detection and tracking. Furthermore, particle filters have some inherent redundancy which makes them potentially interesting candidate to be combined with low-cost fault tolerant HW techniques. </w:t>
      </w:r>
    </w:p>
    <w:p w14:paraId="295D26C3" w14:textId="77777777" w:rsidR="006A0EA3" w:rsidRPr="00FF1E9C" w:rsidRDefault="006A0EA3" w:rsidP="00482002">
      <w:pPr>
        <w:pStyle w:val="ITEABodyText"/>
      </w:pPr>
    </w:p>
    <w:p w14:paraId="204D678C" w14:textId="77777777" w:rsidR="00482002" w:rsidRDefault="00482002" w:rsidP="00482002">
      <w:pPr>
        <w:pStyle w:val="ITEAHeading2"/>
      </w:pPr>
      <w:bookmarkStart w:id="38" w:name="_Toc398225059"/>
      <w:r>
        <w:t>Analysis of industrial use cases and requirements</w:t>
      </w:r>
      <w:bookmarkEnd w:id="38"/>
      <w:r w:rsidRPr="003E1B95">
        <w:t xml:space="preserve"> </w:t>
      </w:r>
    </w:p>
    <w:p w14:paraId="775FCE26" w14:textId="5565C91A" w:rsidR="006A0EA3" w:rsidRDefault="006A0EA3" w:rsidP="006A0EA3">
      <w:pPr>
        <w:pStyle w:val="ITEABodyText"/>
      </w:pPr>
      <w:r>
        <w:t xml:space="preserve">The use-case </w:t>
      </w:r>
      <w:r w:rsidR="000808E8" w:rsidRPr="000808E8">
        <w:rPr>
          <w:i/>
          <w:iCs/>
          <w:szCs w:val="20"/>
        </w:rPr>
        <w:t xml:space="preserve"> </w:t>
      </w:r>
      <w:r w:rsidR="000808E8">
        <w:rPr>
          <w:i/>
          <w:iCs/>
          <w:szCs w:val="20"/>
        </w:rPr>
        <w:t xml:space="preserve">REC_UC01 </w:t>
      </w:r>
      <w:r>
        <w:t>is defined by NXP/Recore and concerns fault tolerant processing of a vision/radar systems. Recore is especially interested in fault tolerant hardware design techniques, whereas NXP is more interested in software techniques that improve the robustness of a radar system. This can be achieved by making use of estimators for object tracking. These estimators should be made robust against variation in the interval of time between subsequent samplings as well as hardware errors.  Variation in the interval between subsequent samplings can be a result of communication delay and variation in the execution time of the estimator.</w:t>
      </w:r>
    </w:p>
    <w:p w14:paraId="548A3116" w14:textId="77777777" w:rsidR="00482002" w:rsidRDefault="00482002" w:rsidP="00482002">
      <w:pPr>
        <w:pStyle w:val="ITEABodyText"/>
      </w:pPr>
    </w:p>
    <w:p w14:paraId="548A00EB" w14:textId="447651BC" w:rsidR="00482002" w:rsidRPr="00BF21AC" w:rsidRDefault="00482002" w:rsidP="00482002">
      <w:pPr>
        <w:pStyle w:val="ITEAHeading2"/>
      </w:pPr>
      <w:bookmarkStart w:id="39" w:name="_Toc398225060"/>
      <w:r>
        <w:t>Proposed tool</w:t>
      </w:r>
      <w:r w:rsidR="00431B02">
        <w:t>s and methods</w:t>
      </w:r>
      <w:bookmarkEnd w:id="39"/>
    </w:p>
    <w:p w14:paraId="7C3DE98F" w14:textId="23723266" w:rsidR="006A0EA3" w:rsidRPr="004F74B3" w:rsidRDefault="006A0EA3" w:rsidP="00B028F0">
      <w:pPr>
        <w:pStyle w:val="ITEABodyText"/>
        <w:rPr>
          <w:lang w:val="en-US"/>
        </w:rPr>
      </w:pPr>
      <w:r>
        <w:rPr>
          <w:lang w:val="en-US"/>
        </w:rPr>
        <w:t>No overall tool</w:t>
      </w:r>
      <w:r w:rsidR="0033043B">
        <w:rPr>
          <w:lang w:val="en-US"/>
        </w:rPr>
        <w:t xml:space="preserve"> </w:t>
      </w:r>
      <w:r>
        <w:rPr>
          <w:lang w:val="en-US"/>
        </w:rPr>
        <w:t>flow is planned because most of the tools do not require interaction with the other tools that are under development. Furthermore, this cluster works on hardware techniques as well.</w:t>
      </w:r>
    </w:p>
    <w:p w14:paraId="5D8B32ED" w14:textId="334CCFE5" w:rsidR="006A0EA3" w:rsidRDefault="006A0EA3" w:rsidP="00EB0337">
      <w:pPr>
        <w:pStyle w:val="ITEAHeading3"/>
      </w:pPr>
      <w:bookmarkStart w:id="40" w:name="_Toc398225061"/>
      <w:r>
        <w:t>HAPI dataflow simulator</w:t>
      </w:r>
      <w:bookmarkEnd w:id="40"/>
      <w:r>
        <w:tab/>
      </w:r>
    </w:p>
    <w:p w14:paraId="0AFC356C" w14:textId="00718B4C" w:rsidR="00790BDD" w:rsidRDefault="006A0EA3" w:rsidP="006A0EA3">
      <w:pPr>
        <w:pStyle w:val="ITEABodyText"/>
      </w:pPr>
      <w:r>
        <w:t>HAPI is a recently introduced dataflow simulator. The novelty is that it allows to simulated shared resources without introducing any over-approximation or under approximation in the analysis results. Therefore</w:t>
      </w:r>
      <w:r w:rsidR="002D7141">
        <w:t>,</w:t>
      </w:r>
      <w:r>
        <w:t xml:space="preserve"> it can be used to falsify analytical analysis techniques like the ones implemented in Xenoclea. Interfacing of Xenoclea and HAPI is desirable to guarantee consistency and simplify analysis of larger test-sets.  Furthermore</w:t>
      </w:r>
      <w:r w:rsidR="002D7141">
        <w:t>,</w:t>
      </w:r>
      <w:r>
        <w:t xml:space="preserve"> interfacing with the UPPAAL model checker is considered. Evaluation using practical case-studies will potentially result in the future in requests for extensions of HAPI. </w:t>
      </w:r>
    </w:p>
    <w:p w14:paraId="3E9CE23C" w14:textId="702EB468" w:rsidR="009D3F3F" w:rsidRDefault="00790BDD" w:rsidP="009D3F3F">
      <w:pPr>
        <w:pStyle w:val="ITEABodyText"/>
      </w:pPr>
      <w:r>
        <w:t>We deviated from the idea of interfacing Xenoclea with HAPI because support of TNO_UC01 was not well possible with the existing dataflow approach because the TNO system contains time-triggered components instead of data-driven components. These time-triggered components sample whether new data arrives. If no data has arrived,</w:t>
      </w:r>
      <w:r w:rsidR="00FA241C">
        <w:t xml:space="preserve"> it is often</w:t>
      </w:r>
      <w:r>
        <w:t xml:space="preserve"> the case that the previous</w:t>
      </w:r>
      <w:r w:rsidR="00FA241C">
        <w:t>ly received</w:t>
      </w:r>
      <w:r>
        <w:t xml:space="preserve"> sample is repeated. Therefore, this time-triggered behaviour introduces non-determinism into the system. To analyse the effect of this sampling also the continuous time part of the system must be modelled. This can be done using hybrid-automata models.</w:t>
      </w:r>
      <w:r w:rsidR="009D3F3F">
        <w:t xml:space="preserve"> Therefore, we started to work on model-checking techniques for hybrid-automata.</w:t>
      </w:r>
      <w:r w:rsidR="009D3F3F" w:rsidRPr="009D3F3F">
        <w:t xml:space="preserve"> </w:t>
      </w:r>
      <w:r w:rsidR="009D3F3F">
        <w:t>More precisely, we are developing more computational efficient</w:t>
      </w:r>
      <w:r w:rsidR="00FA241C">
        <w:t xml:space="preserve"> model-</w:t>
      </w:r>
      <w:r w:rsidR="009D3F3F">
        <w:t xml:space="preserve">checking techniques for a specific subclass of hybrid systems. This subclass should cover the use-case </w:t>
      </w:r>
      <w:r w:rsidR="00FA241C">
        <w:rPr>
          <w:i/>
          <w:iCs/>
          <w:szCs w:val="20"/>
        </w:rPr>
        <w:t xml:space="preserve">TNO_UC01 </w:t>
      </w:r>
      <w:r w:rsidR="009D3F3F">
        <w:t xml:space="preserve">with a focus on guarantees instead of probabilistic assertions. An initial version of these model-checking techniques has been implemented in a tool. </w:t>
      </w:r>
    </w:p>
    <w:p w14:paraId="404A79E6" w14:textId="26467584" w:rsidR="001D732A" w:rsidRDefault="009D3F3F" w:rsidP="006A0EA3">
      <w:pPr>
        <w:pStyle w:val="ITEABodyText"/>
      </w:pPr>
      <w:r>
        <w:t>For a related reason, w</w:t>
      </w:r>
      <w:r w:rsidR="00FA241C">
        <w:t>e also did not continue with</w:t>
      </w:r>
      <w:r>
        <w:t xml:space="preserve"> extend</w:t>
      </w:r>
      <w:r w:rsidR="00FA241C">
        <w:t>ing</w:t>
      </w:r>
      <w:r>
        <w:t xml:space="preserve"> the HAPI simulator. The reason is </w:t>
      </w:r>
      <w:r w:rsidR="006074AF">
        <w:t xml:space="preserve">that for discrete-event systems guarantees could be provided with HAPI whereas this is not the case for hybrid-systems (discrete-event/continuous-time systems), </w:t>
      </w:r>
      <w:r>
        <w:t>F</w:t>
      </w:r>
      <w:r w:rsidR="006074AF">
        <w:t xml:space="preserve">or discrete-event systems a worst-case simulation trace could be </w:t>
      </w:r>
      <w:r w:rsidR="006074AF">
        <w:lastRenderedPageBreak/>
        <w:t>generated using the HAPI simulator</w:t>
      </w:r>
      <w:r w:rsidR="002D7141">
        <w:t xml:space="preserve"> based on </w:t>
      </w:r>
      <w:r w:rsidR="00EF22D2">
        <w:t xml:space="preserve">a </w:t>
      </w:r>
      <w:r w:rsidR="002D7141">
        <w:t xml:space="preserve">refinement theory for discrete-event systems. </w:t>
      </w:r>
      <w:r w:rsidR="00CD773A">
        <w:t>Such a refinement theory does did not exist for Hybrid systems. In the draft of the PhD thesis of Philip Kurtin, a PhD within the ASSUME project, a refinement theory for hybrid systems is described. Key addition compared to existing refinement theories for discrete event systems are that it allows continuous time signals besides discrete event streams. Furthermore, it supports approximation of signals instead of bounding of signals. Approximation allows to define statistical relations between signals, e.g. that one signal has the same mean but a lower variance than another signal. For discrete event streams it had to be the case that for each individual sample the temporal and functional behaviour was bounded from above and below.</w:t>
      </w:r>
      <w:r w:rsidR="002D7141">
        <w:t xml:space="preserve"> </w:t>
      </w:r>
    </w:p>
    <w:p w14:paraId="2B57E203" w14:textId="61E88D84" w:rsidR="00B06FD0" w:rsidRPr="00A661D4" w:rsidRDefault="00CD773A" w:rsidP="00B06FD0">
      <w:pPr>
        <w:pStyle w:val="ITEABodyText"/>
      </w:pPr>
      <w:r>
        <w:t xml:space="preserve">Also another extension have been made to existing discrete event refinement theories. The extension allows to create abstractions besides refinements and is therefore called an abstraction-refinement theory. </w:t>
      </w:r>
      <w:r w:rsidR="00EF22D2">
        <w:t>T</w:t>
      </w:r>
      <w:r w:rsidR="00790BDD">
        <w:t>his extension required</w:t>
      </w:r>
      <w:r w:rsidR="00EF22D2">
        <w:t xml:space="preserve"> a completely new theory with different </w:t>
      </w:r>
      <w:r w:rsidR="00FA241C">
        <w:t>bounding-</w:t>
      </w:r>
      <w:r w:rsidR="00EF22D2">
        <w:t xml:space="preserve">operators and the definition of components </w:t>
      </w:r>
      <w:r w:rsidR="00FA241C">
        <w:t xml:space="preserve">that do not accept all streams. The theory has been described in a conference and journal paper which have been accepted for publication. </w:t>
      </w:r>
      <w:r>
        <w:t>Furthermore, a more detailed report has been written and a gentle introduction can be found in the draft of the PhD thesis of Philip Kurtin</w:t>
      </w:r>
    </w:p>
    <w:p w14:paraId="65864DFA" w14:textId="3108BE1F" w:rsidR="00B06FD0" w:rsidRDefault="00B06FD0" w:rsidP="00B06FD0">
      <w:pPr>
        <w:pStyle w:val="ITEAHeading3"/>
      </w:pPr>
      <w:bookmarkStart w:id="41" w:name="_Toc492644967"/>
      <w:bookmarkStart w:id="42" w:name="_Toc398225062"/>
      <w:r>
        <w:t>Making (FPGA</w:t>
      </w:r>
      <w:r w:rsidR="00CD773A">
        <w:t>-based</w:t>
      </w:r>
      <w:r>
        <w:t>) Hardware Fault Tolerant using Error-Rate Assessment</w:t>
      </w:r>
      <w:bookmarkEnd w:id="41"/>
      <w:bookmarkEnd w:id="42"/>
    </w:p>
    <w:p w14:paraId="5FC7CB18" w14:textId="77777777" w:rsidR="00CD773A" w:rsidRPr="00E27637" w:rsidRDefault="00CD773A" w:rsidP="00CD773A">
      <w:pPr>
        <w:spacing w:line="282" w:lineRule="auto"/>
        <w:ind w:right="180"/>
        <w:jc w:val="both"/>
        <w:rPr>
          <w:rFonts w:eastAsia="Arial" w:cs="Arial"/>
          <w:color w:val="auto"/>
          <w:szCs w:val="20"/>
        </w:rPr>
      </w:pPr>
      <w:bookmarkStart w:id="43" w:name="OLE_LINK1"/>
      <w:bookmarkStart w:id="44" w:name="OLE_LINK2"/>
      <w:bookmarkStart w:id="45" w:name="OLE_LINK3"/>
      <w:r w:rsidRPr="00E27637">
        <w:rPr>
          <w:rFonts w:eastAsia="Arial" w:cs="Arial"/>
          <w:color w:val="auto"/>
          <w:szCs w:val="20"/>
        </w:rPr>
        <w:t>The main objective of this work is to design a fault tolerant hardware using the redundancy approach while the focus is to minimize overheads introduced by redundancy. In this work package, we therefore define techniques that improve the error resilience of a hardware. Towards this, the vulnerability of the hardware components to the error are estimated and the redundancy is selectively applied for only the elements with higher vulnerability. The hardware vulnerability is calculated in two popular scenario: first when soft version of the target application is executed on a processor and second when a dedicated FPGA-based hardware is implemented for the application. Already a PhD at TU/e has worked on a simulator for the evaluation of vulnerability for processor errors. Unfortunately, the PhD student has ended his contact, still his results are being used by a new PhD student hired to continue this work.</w:t>
      </w:r>
    </w:p>
    <w:bookmarkEnd w:id="43"/>
    <w:bookmarkEnd w:id="44"/>
    <w:bookmarkEnd w:id="45"/>
    <w:p w14:paraId="0EC73C5A" w14:textId="77777777" w:rsidR="00CD773A" w:rsidRPr="00E27637" w:rsidRDefault="00CD773A" w:rsidP="00CD773A">
      <w:pPr>
        <w:spacing w:line="282" w:lineRule="auto"/>
        <w:ind w:right="180"/>
        <w:jc w:val="both"/>
        <w:rPr>
          <w:rFonts w:eastAsia="Arial" w:cs="Arial"/>
          <w:color w:val="auto"/>
          <w:szCs w:val="20"/>
        </w:rPr>
      </w:pPr>
      <w:r w:rsidRPr="00E27637">
        <w:rPr>
          <w:rFonts w:eastAsia="Arial" w:cs="Arial"/>
          <w:color w:val="auto"/>
          <w:szCs w:val="20"/>
        </w:rPr>
        <w:t>The key in generating error-rate estimates for processor is that all faults in a microarchitectural structure do not affect the final outcome of a program. The probability that a fault in a processor structure will result in a visible error in the final output of a program is defined as the structure’s Architectural Vulnerability Factor (AVF).</w:t>
      </w:r>
    </w:p>
    <w:p w14:paraId="0C62FA00" w14:textId="77777777" w:rsidR="00CD773A" w:rsidRPr="00E27637" w:rsidRDefault="00CD773A" w:rsidP="00CD773A">
      <w:pPr>
        <w:spacing w:line="282" w:lineRule="auto"/>
        <w:ind w:right="180"/>
        <w:jc w:val="both"/>
        <w:rPr>
          <w:rFonts w:eastAsia="Arial" w:cs="Arial"/>
          <w:color w:val="auto"/>
          <w:szCs w:val="20"/>
        </w:rPr>
      </w:pPr>
      <w:r w:rsidRPr="00E27637">
        <w:rPr>
          <w:rFonts w:eastAsia="Arial" w:cs="Arial"/>
          <w:color w:val="auto"/>
          <w:szCs w:val="20"/>
        </w:rPr>
        <w:t xml:space="preserve">In this work, a simulation-based fault injection technique is </w:t>
      </w:r>
      <w:r>
        <w:rPr>
          <w:rFonts w:eastAsia="Arial" w:cs="Arial"/>
          <w:color w:val="auto"/>
          <w:szCs w:val="20"/>
        </w:rPr>
        <w:t>implemented</w:t>
      </w:r>
      <w:r w:rsidRPr="00E27637">
        <w:rPr>
          <w:rFonts w:eastAsia="Arial" w:cs="Arial"/>
          <w:color w:val="auto"/>
          <w:szCs w:val="20"/>
        </w:rPr>
        <w:t xml:space="preserve"> to calculate AVF. Faults are injected into the high-level model of processor e.g. VHDL model. </w:t>
      </w:r>
    </w:p>
    <w:p w14:paraId="4C1D9968" w14:textId="77777777" w:rsidR="00CD773A" w:rsidRPr="00E27637" w:rsidRDefault="00CD773A" w:rsidP="00CD773A">
      <w:pPr>
        <w:spacing w:line="282" w:lineRule="auto"/>
        <w:ind w:right="180"/>
        <w:jc w:val="both"/>
        <w:rPr>
          <w:rFonts w:eastAsia="Arial" w:cs="Arial"/>
          <w:color w:val="auto"/>
          <w:szCs w:val="20"/>
        </w:rPr>
      </w:pPr>
      <w:r w:rsidRPr="00E27637">
        <w:rPr>
          <w:rFonts w:eastAsia="Arial" w:cs="Arial"/>
          <w:color w:val="auto"/>
          <w:szCs w:val="20"/>
        </w:rPr>
        <w:t xml:space="preserve">Afterwards, given the response of the processor in the presents of faults the </w:t>
      </w:r>
      <w:r>
        <w:rPr>
          <w:rFonts w:eastAsia="Arial" w:cs="Arial"/>
          <w:color w:val="auto"/>
          <w:szCs w:val="20"/>
        </w:rPr>
        <w:t>behavio</w:t>
      </w:r>
      <w:r w:rsidRPr="00E27637">
        <w:rPr>
          <w:rFonts w:eastAsia="Arial" w:cs="Arial"/>
          <w:color w:val="auto"/>
          <w:szCs w:val="20"/>
        </w:rPr>
        <w:t xml:space="preserve">r of processor will be compared for both the fault-free processor and the faulty-processor. In this work, our focus is on single event upsets (SEUs) effect on processor </w:t>
      </w:r>
      <w:r>
        <w:rPr>
          <w:rFonts w:eastAsia="Arial" w:cs="Arial"/>
          <w:color w:val="auto"/>
          <w:szCs w:val="20"/>
        </w:rPr>
        <w:t>behavio</w:t>
      </w:r>
      <w:r w:rsidRPr="00E27637">
        <w:rPr>
          <w:rFonts w:eastAsia="Arial" w:cs="Arial"/>
          <w:color w:val="auto"/>
          <w:szCs w:val="20"/>
        </w:rPr>
        <w:t xml:space="preserve">r. SEUs are modelled with bit-flip in memory elements. In order to inject faults into the flip-flops (FFs), we replace them with injection-able modified version as shown in the Figure. 1.  </w:t>
      </w:r>
    </w:p>
    <w:p w14:paraId="26930898" w14:textId="77777777" w:rsidR="00CD773A" w:rsidRDefault="00CD773A" w:rsidP="00CD773A">
      <w:pPr>
        <w:keepNext/>
        <w:jc w:val="both"/>
        <w:rPr>
          <w:noProof/>
        </w:rPr>
      </w:pPr>
    </w:p>
    <w:p w14:paraId="71BD7294" w14:textId="77777777" w:rsidR="00CD773A" w:rsidRDefault="00CD773A" w:rsidP="00CD773A">
      <w:pPr>
        <w:keepNext/>
        <w:jc w:val="both"/>
        <w:rPr>
          <w:noProof/>
        </w:rPr>
      </w:pPr>
      <w:r>
        <w:rPr>
          <w:noProof/>
        </w:rPr>
        <w:t xml:space="preserve">                               </w:t>
      </w:r>
      <w:r w:rsidRPr="0081552B">
        <w:rPr>
          <w:noProof/>
          <w:lang w:val="en-US" w:eastAsia="en-US"/>
        </w:rPr>
        <w:drawing>
          <wp:inline distT="0" distB="0" distL="0" distR="0" wp14:anchorId="7933387B" wp14:editId="3D0AC829">
            <wp:extent cx="1606550" cy="109600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4625" cy="1115159"/>
                    </a:xfrm>
                    <a:prstGeom prst="rect">
                      <a:avLst/>
                    </a:prstGeom>
                    <a:noFill/>
                    <a:ln>
                      <a:noFill/>
                    </a:ln>
                  </pic:spPr>
                </pic:pic>
              </a:graphicData>
            </a:graphic>
          </wp:inline>
        </w:drawing>
      </w:r>
      <w:r>
        <w:rPr>
          <w:noProof/>
          <w:lang w:val="en-US" w:eastAsia="en-US"/>
        </w:rPr>
        <w:drawing>
          <wp:inline distT="0" distB="0" distL="0" distR="0" wp14:anchorId="61ADA1F0" wp14:editId="5D2A543E">
            <wp:extent cx="1543050" cy="1061683"/>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0055" cy="1100905"/>
                    </a:xfrm>
                    <a:prstGeom prst="rect">
                      <a:avLst/>
                    </a:prstGeom>
                    <a:noFill/>
                    <a:ln>
                      <a:noFill/>
                    </a:ln>
                  </pic:spPr>
                </pic:pic>
              </a:graphicData>
            </a:graphic>
          </wp:inline>
        </w:drawing>
      </w:r>
    </w:p>
    <w:p w14:paraId="0BE17CEC" w14:textId="77777777" w:rsidR="00CD773A" w:rsidRDefault="00CD773A" w:rsidP="00CD773A">
      <w:pPr>
        <w:pStyle w:val="ListParagraph"/>
        <w:keepNext/>
        <w:numPr>
          <w:ilvl w:val="0"/>
          <w:numId w:val="33"/>
        </w:numPr>
        <w:spacing w:after="160" w:line="259" w:lineRule="auto"/>
        <w:jc w:val="both"/>
        <w:rPr>
          <w:noProof/>
        </w:rPr>
      </w:pPr>
      <w:r>
        <w:rPr>
          <w:noProof/>
        </w:rPr>
        <w:t xml:space="preserve">                                  (b)</w:t>
      </w:r>
    </w:p>
    <w:p w14:paraId="6482259A" w14:textId="74EB025E" w:rsidR="00CD773A" w:rsidRDefault="00CD773A" w:rsidP="00CD773A">
      <w:pPr>
        <w:pStyle w:val="Caption"/>
        <w:jc w:val="both"/>
      </w:pPr>
      <w:r>
        <w:t xml:space="preserve">                                                 Figure 6 a) original flip flop, b) injection-able modified flip flop</w:t>
      </w:r>
    </w:p>
    <w:p w14:paraId="6FE963CD" w14:textId="77777777" w:rsidR="00CD773A" w:rsidRDefault="00CD773A" w:rsidP="00CD773A">
      <w:pPr>
        <w:jc w:val="both"/>
      </w:pPr>
    </w:p>
    <w:p w14:paraId="67A6AE06" w14:textId="77777777" w:rsidR="00CD773A" w:rsidRDefault="00CD773A" w:rsidP="00CD773A">
      <w:pPr>
        <w:autoSpaceDE w:val="0"/>
        <w:autoSpaceDN w:val="0"/>
        <w:adjustRightInd w:val="0"/>
        <w:spacing w:line="240" w:lineRule="auto"/>
        <w:jc w:val="both"/>
        <w:rPr>
          <w:rFonts w:cs="Arial"/>
          <w:szCs w:val="20"/>
        </w:rPr>
      </w:pPr>
      <w:r>
        <w:rPr>
          <w:rFonts w:cs="Arial"/>
          <w:szCs w:val="20"/>
        </w:rPr>
        <w:t>F</w:t>
      </w:r>
      <w:r w:rsidRPr="005030D2">
        <w:rPr>
          <w:rFonts w:cs="Arial"/>
          <w:szCs w:val="20"/>
        </w:rPr>
        <w:t xml:space="preserve">lowchart (1) </w:t>
      </w:r>
      <w:r>
        <w:rPr>
          <w:rFonts w:cs="Arial"/>
          <w:szCs w:val="20"/>
        </w:rPr>
        <w:t>also presents our</w:t>
      </w:r>
      <w:r w:rsidRPr="005030D2">
        <w:rPr>
          <w:rFonts w:cs="Arial"/>
          <w:szCs w:val="20"/>
        </w:rPr>
        <w:t xml:space="preserve"> </w:t>
      </w:r>
      <w:r>
        <w:rPr>
          <w:rFonts w:cs="Arial"/>
          <w:szCs w:val="20"/>
        </w:rPr>
        <w:t>method of calculating</w:t>
      </w:r>
      <w:r w:rsidRPr="005030D2">
        <w:rPr>
          <w:rFonts w:cs="Arial"/>
          <w:szCs w:val="20"/>
        </w:rPr>
        <w:t xml:space="preserve"> AVF. The memory elements of the netlist generated from VHDL model of processor are automatically repl</w:t>
      </w:r>
      <w:r>
        <w:rPr>
          <w:rFonts w:cs="Arial"/>
          <w:szCs w:val="20"/>
        </w:rPr>
        <w:t>aced with the modified flip flops</w:t>
      </w:r>
      <w:r w:rsidRPr="005030D2">
        <w:rPr>
          <w:rFonts w:cs="Arial"/>
          <w:szCs w:val="20"/>
        </w:rPr>
        <w:t xml:space="preserve">. </w:t>
      </w:r>
      <w:r>
        <w:rPr>
          <w:rFonts w:cs="Arial"/>
          <w:szCs w:val="20"/>
        </w:rPr>
        <w:t>Looking at the flowchart, if</w:t>
      </w:r>
      <w:r w:rsidRPr="005030D2">
        <w:rPr>
          <w:rFonts w:cs="Arial"/>
          <w:szCs w:val="20"/>
        </w:rPr>
        <w:t xml:space="preserve"> N </w:t>
      </w:r>
      <w:r>
        <w:rPr>
          <w:rFonts w:cs="Arial"/>
          <w:szCs w:val="20"/>
        </w:rPr>
        <w:t xml:space="preserve">is </w:t>
      </w:r>
      <w:r w:rsidRPr="005030D2">
        <w:rPr>
          <w:rFonts w:cs="Arial"/>
          <w:szCs w:val="20"/>
        </w:rPr>
        <w:t xml:space="preserve">the number of flip-flops in a circuit and C </w:t>
      </w:r>
      <w:r>
        <w:rPr>
          <w:rFonts w:cs="Arial"/>
          <w:szCs w:val="20"/>
        </w:rPr>
        <w:t xml:space="preserve">is </w:t>
      </w:r>
      <w:r w:rsidRPr="005030D2">
        <w:rPr>
          <w:rFonts w:cs="Arial"/>
          <w:szCs w:val="20"/>
        </w:rPr>
        <w:t xml:space="preserve">the number of </w:t>
      </w:r>
      <w:r>
        <w:rPr>
          <w:rFonts w:cs="Arial"/>
          <w:szCs w:val="20"/>
        </w:rPr>
        <w:t xml:space="preserve">clock </w:t>
      </w:r>
      <w:r w:rsidRPr="005030D2">
        <w:rPr>
          <w:rFonts w:cs="Arial"/>
          <w:szCs w:val="20"/>
        </w:rPr>
        <w:t xml:space="preserve">cycles </w:t>
      </w:r>
      <w:r>
        <w:rPr>
          <w:rFonts w:cs="Arial"/>
          <w:szCs w:val="20"/>
        </w:rPr>
        <w:t>required for calculating</w:t>
      </w:r>
      <w:r w:rsidRPr="005030D2">
        <w:rPr>
          <w:rFonts w:cs="Arial"/>
          <w:szCs w:val="20"/>
        </w:rPr>
        <w:t xml:space="preserve"> </w:t>
      </w:r>
      <w:r>
        <w:rPr>
          <w:rFonts w:cs="Arial"/>
          <w:szCs w:val="20"/>
        </w:rPr>
        <w:t>a</w:t>
      </w:r>
      <w:r w:rsidRPr="005030D2">
        <w:rPr>
          <w:rFonts w:cs="Arial"/>
          <w:szCs w:val="20"/>
        </w:rPr>
        <w:t xml:space="preserve"> final output, the complete set of single faults </w:t>
      </w:r>
      <w:r>
        <w:rPr>
          <w:rFonts w:cs="Arial"/>
          <w:szCs w:val="20"/>
        </w:rPr>
        <w:t xml:space="preserve">in the processor </w:t>
      </w:r>
      <w:r w:rsidRPr="005030D2">
        <w:rPr>
          <w:rFonts w:cs="Arial"/>
          <w:szCs w:val="20"/>
        </w:rPr>
        <w:t xml:space="preserve">is </w:t>
      </w:r>
      <w:r>
        <w:rPr>
          <w:rFonts w:cs="Arial"/>
          <w:szCs w:val="20"/>
        </w:rPr>
        <w:t>accordingly</w:t>
      </w:r>
      <w:r w:rsidRPr="005030D2">
        <w:rPr>
          <w:rFonts w:cs="Arial"/>
          <w:szCs w:val="20"/>
        </w:rPr>
        <w:t xml:space="preserve"> composed of NxC faults: </w:t>
      </w:r>
      <w:r w:rsidRPr="003C44E9">
        <w:rPr>
          <w:rFonts w:cs="Arial"/>
          <w:i/>
          <w:iCs/>
          <w:szCs w:val="20"/>
        </w:rPr>
        <w:t>a fault can be injected in any of the flip-flops, and for every flip-flop, it can be injected at any clock cycle</w:t>
      </w:r>
      <w:r w:rsidRPr="005030D2">
        <w:rPr>
          <w:rFonts w:cs="Arial"/>
          <w:szCs w:val="20"/>
        </w:rPr>
        <w:t xml:space="preserve">. </w:t>
      </w:r>
      <w:r>
        <w:rPr>
          <w:rFonts w:cs="Arial"/>
          <w:szCs w:val="20"/>
        </w:rPr>
        <w:t>Currently, we developed a test-bench to perform the following steps:</w:t>
      </w:r>
      <w:r w:rsidRPr="005030D2">
        <w:rPr>
          <w:rFonts w:cs="Arial"/>
          <w:szCs w:val="20"/>
        </w:rPr>
        <w:t xml:space="preserve"> </w:t>
      </w:r>
    </w:p>
    <w:p w14:paraId="006F1472" w14:textId="77777777" w:rsidR="00CD773A" w:rsidRDefault="00CD773A" w:rsidP="00CD773A">
      <w:pPr>
        <w:autoSpaceDE w:val="0"/>
        <w:autoSpaceDN w:val="0"/>
        <w:adjustRightInd w:val="0"/>
        <w:spacing w:line="240" w:lineRule="auto"/>
        <w:jc w:val="both"/>
        <w:rPr>
          <w:rFonts w:cs="Arial"/>
          <w:szCs w:val="20"/>
        </w:rPr>
      </w:pPr>
    </w:p>
    <w:p w14:paraId="406FFAFB" w14:textId="77777777" w:rsidR="00CD773A" w:rsidRDefault="00CD773A" w:rsidP="00CD773A">
      <w:pPr>
        <w:pStyle w:val="ListParagraph"/>
        <w:numPr>
          <w:ilvl w:val="0"/>
          <w:numId w:val="34"/>
        </w:numPr>
        <w:autoSpaceDE w:val="0"/>
        <w:autoSpaceDN w:val="0"/>
        <w:adjustRightInd w:val="0"/>
        <w:spacing w:line="240" w:lineRule="auto"/>
        <w:jc w:val="both"/>
        <w:rPr>
          <w:rFonts w:cs="Arial"/>
          <w:szCs w:val="20"/>
        </w:rPr>
      </w:pPr>
      <w:r w:rsidRPr="00AE4B9B">
        <w:rPr>
          <w:rFonts w:cs="Arial"/>
          <w:szCs w:val="20"/>
        </w:rPr>
        <w:t xml:space="preserve">Run the testbench until the </w:t>
      </w:r>
      <w:r>
        <w:rPr>
          <w:rFonts w:cs="Arial"/>
          <w:szCs w:val="20"/>
        </w:rPr>
        <w:t>time that fault has to be injected</w:t>
      </w:r>
      <w:r w:rsidRPr="00AE4B9B">
        <w:rPr>
          <w:rFonts w:cs="Arial"/>
          <w:szCs w:val="20"/>
        </w:rPr>
        <w:t xml:space="preserve">. </w:t>
      </w:r>
    </w:p>
    <w:p w14:paraId="22FC576A" w14:textId="77777777" w:rsidR="00CD773A" w:rsidRDefault="00CD773A" w:rsidP="00CD773A">
      <w:pPr>
        <w:pStyle w:val="ListParagraph"/>
        <w:numPr>
          <w:ilvl w:val="0"/>
          <w:numId w:val="34"/>
        </w:numPr>
        <w:autoSpaceDE w:val="0"/>
        <w:autoSpaceDN w:val="0"/>
        <w:adjustRightInd w:val="0"/>
        <w:spacing w:line="240" w:lineRule="auto"/>
        <w:jc w:val="both"/>
        <w:rPr>
          <w:rFonts w:cs="Arial"/>
          <w:szCs w:val="20"/>
        </w:rPr>
      </w:pPr>
      <w:r w:rsidRPr="00AE4B9B">
        <w:rPr>
          <w:rFonts w:cs="Arial"/>
          <w:szCs w:val="20"/>
        </w:rPr>
        <w:t>I</w:t>
      </w:r>
      <w:r>
        <w:rPr>
          <w:rFonts w:cs="Arial"/>
          <w:szCs w:val="20"/>
        </w:rPr>
        <w:t>nject the fault</w:t>
      </w:r>
      <w:r w:rsidRPr="00AE4B9B">
        <w:rPr>
          <w:rFonts w:cs="Arial"/>
          <w:szCs w:val="20"/>
        </w:rPr>
        <w:t xml:space="preserve"> by flipping the value of the faulty flip-flop. </w:t>
      </w:r>
    </w:p>
    <w:p w14:paraId="45B22F7C" w14:textId="77777777" w:rsidR="00CD773A" w:rsidRDefault="00CD773A" w:rsidP="00CD773A">
      <w:pPr>
        <w:pStyle w:val="ListParagraph"/>
        <w:numPr>
          <w:ilvl w:val="0"/>
          <w:numId w:val="34"/>
        </w:numPr>
        <w:autoSpaceDE w:val="0"/>
        <w:autoSpaceDN w:val="0"/>
        <w:adjustRightInd w:val="0"/>
        <w:spacing w:line="240" w:lineRule="auto"/>
        <w:jc w:val="both"/>
        <w:rPr>
          <w:rFonts w:cs="Arial"/>
          <w:szCs w:val="20"/>
        </w:rPr>
      </w:pPr>
      <w:r w:rsidRPr="00AE4B9B">
        <w:rPr>
          <w:rFonts w:cs="Arial"/>
          <w:szCs w:val="20"/>
        </w:rPr>
        <w:lastRenderedPageBreak/>
        <w:t xml:space="preserve">Continue </w:t>
      </w:r>
      <w:r>
        <w:rPr>
          <w:rFonts w:cs="Arial"/>
          <w:szCs w:val="20"/>
        </w:rPr>
        <w:t xml:space="preserve">the </w:t>
      </w:r>
      <w:r w:rsidRPr="00AE4B9B">
        <w:rPr>
          <w:rFonts w:cs="Arial"/>
          <w:szCs w:val="20"/>
        </w:rPr>
        <w:t xml:space="preserve">testbench execution until </w:t>
      </w:r>
      <w:r>
        <w:rPr>
          <w:rFonts w:cs="Arial"/>
          <w:szCs w:val="20"/>
        </w:rPr>
        <w:t xml:space="preserve">the </w:t>
      </w:r>
      <w:r w:rsidRPr="00AE4B9B">
        <w:rPr>
          <w:rFonts w:cs="Arial"/>
          <w:szCs w:val="20"/>
        </w:rPr>
        <w:t xml:space="preserve">testbench is </w:t>
      </w:r>
      <w:r>
        <w:rPr>
          <w:rFonts w:cs="Arial"/>
          <w:szCs w:val="20"/>
        </w:rPr>
        <w:t>completely executed</w:t>
      </w:r>
      <w:r w:rsidRPr="00AE4B9B">
        <w:rPr>
          <w:rFonts w:cs="Arial"/>
          <w:szCs w:val="20"/>
        </w:rPr>
        <w:t xml:space="preserve">. </w:t>
      </w:r>
    </w:p>
    <w:p w14:paraId="5FD487CE" w14:textId="77777777" w:rsidR="00CD773A" w:rsidRDefault="00CD773A" w:rsidP="00CD773A">
      <w:pPr>
        <w:pStyle w:val="ListParagraph"/>
        <w:numPr>
          <w:ilvl w:val="0"/>
          <w:numId w:val="34"/>
        </w:numPr>
        <w:autoSpaceDE w:val="0"/>
        <w:autoSpaceDN w:val="0"/>
        <w:adjustRightInd w:val="0"/>
        <w:spacing w:line="240" w:lineRule="auto"/>
        <w:jc w:val="both"/>
        <w:rPr>
          <w:rFonts w:cs="Arial"/>
          <w:szCs w:val="20"/>
        </w:rPr>
      </w:pPr>
      <w:r w:rsidRPr="00AE4B9B">
        <w:rPr>
          <w:rFonts w:cs="Arial"/>
          <w:szCs w:val="20"/>
        </w:rPr>
        <w:t xml:space="preserve">Check the processor output </w:t>
      </w:r>
      <w:r>
        <w:rPr>
          <w:rFonts w:cs="Arial"/>
          <w:szCs w:val="20"/>
        </w:rPr>
        <w:t xml:space="preserve">and </w:t>
      </w:r>
      <w:r w:rsidRPr="00AE4B9B">
        <w:rPr>
          <w:rFonts w:cs="Arial"/>
          <w:szCs w:val="20"/>
        </w:rPr>
        <w:t>update the AVF.</w:t>
      </w:r>
    </w:p>
    <w:p w14:paraId="776AC8EB" w14:textId="77777777" w:rsidR="00CD773A" w:rsidRDefault="00CD773A" w:rsidP="00CD773A">
      <w:pPr>
        <w:pStyle w:val="ListParagraph"/>
        <w:autoSpaceDE w:val="0"/>
        <w:autoSpaceDN w:val="0"/>
        <w:adjustRightInd w:val="0"/>
        <w:spacing w:line="240" w:lineRule="auto"/>
        <w:jc w:val="both"/>
        <w:rPr>
          <w:rFonts w:cs="Arial"/>
          <w:szCs w:val="20"/>
        </w:rPr>
      </w:pPr>
    </w:p>
    <w:p w14:paraId="56AACC77" w14:textId="77777777" w:rsidR="00CD773A" w:rsidRPr="00CB496B" w:rsidRDefault="00CD773A" w:rsidP="00CD773A">
      <w:pPr>
        <w:autoSpaceDE w:val="0"/>
        <w:autoSpaceDN w:val="0"/>
        <w:adjustRightInd w:val="0"/>
        <w:spacing w:line="240" w:lineRule="auto"/>
        <w:jc w:val="both"/>
        <w:rPr>
          <w:rFonts w:cs="Arial"/>
          <w:szCs w:val="20"/>
        </w:rPr>
      </w:pPr>
      <w:r w:rsidRPr="005030D2">
        <w:rPr>
          <w:rFonts w:cs="Arial"/>
          <w:szCs w:val="20"/>
        </w:rPr>
        <w:t xml:space="preserve">AVF for each flip flop bit is calculated as following: </w:t>
      </w:r>
      <w:r w:rsidRPr="009D654D">
        <w:rPr>
          <w:rFonts w:cs="Arial"/>
          <w:b/>
          <w:bCs/>
          <w:szCs w:val="20"/>
        </w:rPr>
        <w:t xml:space="preserve">The number of injection fault into this bit leads to failure divided by </w:t>
      </w:r>
      <w:r>
        <w:rPr>
          <w:rFonts w:cs="Arial"/>
          <w:b/>
          <w:bCs/>
          <w:szCs w:val="20"/>
        </w:rPr>
        <w:t xml:space="preserve">the </w:t>
      </w:r>
      <w:r w:rsidRPr="009D654D">
        <w:rPr>
          <w:rFonts w:cs="Arial"/>
          <w:b/>
          <w:bCs/>
          <w:szCs w:val="20"/>
        </w:rPr>
        <w:t>total number of fault injection</w:t>
      </w:r>
      <w:r>
        <w:rPr>
          <w:rFonts w:cs="Arial"/>
          <w:b/>
          <w:bCs/>
          <w:szCs w:val="20"/>
        </w:rPr>
        <w:t>s</w:t>
      </w:r>
      <w:r w:rsidRPr="005030D2">
        <w:rPr>
          <w:rFonts w:cs="Arial"/>
          <w:szCs w:val="20"/>
        </w:rPr>
        <w:t>.</w:t>
      </w:r>
      <w:r>
        <w:rPr>
          <w:rFonts w:cs="Arial"/>
          <w:szCs w:val="20"/>
        </w:rPr>
        <w:t xml:space="preserve"> We also define </w:t>
      </w:r>
      <w:r w:rsidRPr="00CB496B">
        <w:rPr>
          <w:rFonts w:cs="Arial"/>
          <w:b/>
          <w:bCs/>
          <w:szCs w:val="20"/>
        </w:rPr>
        <w:t>approximate AVF as the number of injection fault leads to faulty output with large error difference divided by total number o</w:t>
      </w:r>
      <w:r>
        <w:rPr>
          <w:rFonts w:cs="Arial"/>
          <w:b/>
          <w:bCs/>
          <w:szCs w:val="20"/>
        </w:rPr>
        <w:t xml:space="preserve">f fault injection into this bit. </w:t>
      </w:r>
      <w:r>
        <w:rPr>
          <w:rFonts w:cs="Arial"/>
          <w:szCs w:val="20"/>
        </w:rPr>
        <w:t xml:space="preserve">The reason for defining approximate AVF is that for some applications, if the difference between faulty output and expected output is small enough, the faulty output will not be considered as a failure.  </w:t>
      </w:r>
    </w:p>
    <w:p w14:paraId="7172DD0D" w14:textId="77777777" w:rsidR="00CD773A" w:rsidRDefault="00CD773A" w:rsidP="00CD773A">
      <w:pPr>
        <w:autoSpaceDE w:val="0"/>
        <w:autoSpaceDN w:val="0"/>
        <w:adjustRightInd w:val="0"/>
        <w:spacing w:line="240" w:lineRule="auto"/>
        <w:jc w:val="both"/>
      </w:pPr>
    </w:p>
    <w:p w14:paraId="5E97242C" w14:textId="77777777" w:rsidR="00CD773A" w:rsidRDefault="00CD773A" w:rsidP="00CD773A">
      <w:pPr>
        <w:keepNext/>
        <w:autoSpaceDE w:val="0"/>
        <w:autoSpaceDN w:val="0"/>
        <w:adjustRightInd w:val="0"/>
        <w:spacing w:line="240" w:lineRule="auto"/>
        <w:jc w:val="center"/>
      </w:pPr>
      <w:r>
        <w:rPr>
          <w:noProof/>
          <w:lang w:val="en-US" w:eastAsia="en-US"/>
        </w:rPr>
        <w:drawing>
          <wp:inline distT="0" distB="0" distL="0" distR="0" wp14:anchorId="3BEEC97B" wp14:editId="52B4504B">
            <wp:extent cx="2799768" cy="290195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4855" cy="2917588"/>
                    </a:xfrm>
                    <a:prstGeom prst="rect">
                      <a:avLst/>
                    </a:prstGeom>
                    <a:noFill/>
                    <a:ln>
                      <a:noFill/>
                    </a:ln>
                  </pic:spPr>
                </pic:pic>
              </a:graphicData>
            </a:graphic>
          </wp:inline>
        </w:drawing>
      </w:r>
    </w:p>
    <w:p w14:paraId="67538DEA" w14:textId="0168186C" w:rsidR="00CD773A" w:rsidRDefault="00CD773A" w:rsidP="00CD773A">
      <w:pPr>
        <w:pStyle w:val="Caption"/>
      </w:pPr>
      <w:r>
        <w:t>Figure 7 General procedure of the AVF calculation using simulation-based fault injection</w:t>
      </w:r>
    </w:p>
    <w:p w14:paraId="0B78335C" w14:textId="77777777" w:rsidR="00CD773A" w:rsidRDefault="00CD773A" w:rsidP="00CD773A">
      <w:pPr>
        <w:autoSpaceDE w:val="0"/>
        <w:autoSpaceDN w:val="0"/>
        <w:adjustRightInd w:val="0"/>
        <w:spacing w:line="240" w:lineRule="auto"/>
        <w:jc w:val="both"/>
      </w:pPr>
    </w:p>
    <w:p w14:paraId="1D5712BC" w14:textId="77777777" w:rsidR="00CD773A" w:rsidRDefault="00CD773A" w:rsidP="00CD773A">
      <w:pPr>
        <w:autoSpaceDE w:val="0"/>
        <w:autoSpaceDN w:val="0"/>
        <w:adjustRightInd w:val="0"/>
        <w:spacing w:line="240" w:lineRule="auto"/>
        <w:jc w:val="both"/>
        <w:rPr>
          <w:rFonts w:cs="Arial"/>
          <w:szCs w:val="20"/>
        </w:rPr>
      </w:pPr>
      <w:r w:rsidRPr="00696BF3">
        <w:rPr>
          <w:rFonts w:cs="Arial"/>
          <w:szCs w:val="20"/>
        </w:rPr>
        <w:t>For the FPGA-based implementation of the application, in addition to estimate the error-rate for the memory elements (i.e flip flops), the error-rate is also calculated for the configuration memory which stores the circuitry of the design. The error-rate of configuration memory is defined as logic error-to-failure ratio which is calculated by dividing the number of critical configuration bits by the total number of configuration bits.  In order to compute the error-to-failure ratio, SEU fault is injected to one configuration bit of the circuit in each test bench run. Then if the final output of the faulty circuit is different with the expected output, that configuration bit is critical configuration bits.</w:t>
      </w:r>
      <w:r>
        <w:rPr>
          <w:rFonts w:cs="Arial"/>
          <w:szCs w:val="20"/>
        </w:rPr>
        <w:t xml:space="preserve"> The FPGA (Zynq) based platform is implemented to test our fault injection approach and calculation of AVF is shown in the figure.</w:t>
      </w:r>
      <w:r w:rsidRPr="004C61D7">
        <w:rPr>
          <w:rFonts w:cs="Arial"/>
          <w:szCs w:val="20"/>
        </w:rPr>
        <w:t xml:space="preserve"> </w:t>
      </w:r>
      <w:r>
        <w:rPr>
          <w:rFonts w:cs="Arial"/>
          <w:szCs w:val="20"/>
        </w:rPr>
        <w:t>The test bench controller is implemented on processing part and SEM IP core is used to inject faults in configuration memory.</w:t>
      </w:r>
    </w:p>
    <w:p w14:paraId="3076869F" w14:textId="77777777" w:rsidR="00CD773A" w:rsidRDefault="00CD773A" w:rsidP="00CD773A">
      <w:pPr>
        <w:autoSpaceDE w:val="0"/>
        <w:autoSpaceDN w:val="0"/>
        <w:adjustRightInd w:val="0"/>
        <w:spacing w:line="240" w:lineRule="auto"/>
        <w:jc w:val="both"/>
        <w:rPr>
          <w:rFonts w:cs="Arial"/>
          <w:szCs w:val="20"/>
        </w:rPr>
      </w:pPr>
    </w:p>
    <w:p w14:paraId="4E1750CF" w14:textId="77777777" w:rsidR="00CD773A" w:rsidRDefault="00CD773A" w:rsidP="00CD773A">
      <w:pPr>
        <w:keepNext/>
        <w:autoSpaceDE w:val="0"/>
        <w:autoSpaceDN w:val="0"/>
        <w:adjustRightInd w:val="0"/>
        <w:spacing w:line="240" w:lineRule="auto"/>
        <w:jc w:val="center"/>
      </w:pPr>
      <w:r w:rsidRPr="00000EDB">
        <w:rPr>
          <w:rFonts w:cs="Arial"/>
          <w:noProof/>
          <w:szCs w:val="20"/>
          <w:lang w:val="en-US" w:eastAsia="en-US"/>
        </w:rPr>
        <w:drawing>
          <wp:inline distT="0" distB="0" distL="0" distR="0" wp14:anchorId="6A793A90" wp14:editId="47C8A70A">
            <wp:extent cx="3691054" cy="1906546"/>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r="555" b="1061"/>
                    <a:stretch/>
                  </pic:blipFill>
                  <pic:spPr bwMode="auto">
                    <a:xfrm>
                      <a:off x="0" y="0"/>
                      <a:ext cx="3711276" cy="1916992"/>
                    </a:xfrm>
                    <a:prstGeom prst="rect">
                      <a:avLst/>
                    </a:prstGeom>
                    <a:noFill/>
                    <a:ln>
                      <a:noFill/>
                    </a:ln>
                    <a:extLst>
                      <a:ext uri="{53640926-AAD7-44d8-BBD7-CCE9431645EC}">
                        <a14:shadowObscured xmlns:a14="http://schemas.microsoft.com/office/drawing/2010/main"/>
                      </a:ext>
                    </a:extLst>
                  </pic:spPr>
                </pic:pic>
              </a:graphicData>
            </a:graphic>
          </wp:inline>
        </w:drawing>
      </w:r>
    </w:p>
    <w:p w14:paraId="6F84073D" w14:textId="1977375F" w:rsidR="00CD773A" w:rsidRPr="004C61D7" w:rsidRDefault="00CD773A" w:rsidP="00CD773A">
      <w:pPr>
        <w:pStyle w:val="Caption"/>
        <w:rPr>
          <w:color w:val="FF0000"/>
          <w:lang w:val="en-US"/>
        </w:rPr>
      </w:pPr>
      <w:r>
        <w:t>Figure 8</w:t>
      </w:r>
      <w:r>
        <w:rPr>
          <w:lang w:val="en-US"/>
        </w:rPr>
        <w:t xml:space="preserve"> Testbench platform for evaluating the effect of SEUs in configuration memory</w:t>
      </w:r>
    </w:p>
    <w:p w14:paraId="0389D5A3" w14:textId="1A33776C" w:rsidR="00B06FD0" w:rsidRDefault="00CD773A" w:rsidP="00000EDB">
      <w:pPr>
        <w:jc w:val="both"/>
      </w:pPr>
      <w:r>
        <w:rPr>
          <w:rFonts w:eastAsia="Arial" w:cs="Arial"/>
          <w:color w:val="auto"/>
          <w:szCs w:val="20"/>
        </w:rPr>
        <w:t xml:space="preserve">For more information please refer to paper </w:t>
      </w:r>
      <w:r w:rsidRPr="00D20CC3">
        <w:rPr>
          <w:rFonts w:eastAsia="Arial" w:cs="Arial"/>
          <w:color w:val="auto"/>
          <w:szCs w:val="20"/>
        </w:rPr>
        <w:t>“</w:t>
      </w:r>
      <w:r>
        <w:rPr>
          <w:rFonts w:eastAsia="Arial" w:cs="Arial"/>
          <w:color w:val="auto"/>
          <w:szCs w:val="20"/>
        </w:rPr>
        <w:t xml:space="preserve">M. Mousavi, H.Pourshaghaghi, M.Tahghighi, R. Jordans, H. corporaal, </w:t>
      </w:r>
      <w:r w:rsidRPr="00D20CC3">
        <w:rPr>
          <w:rFonts w:eastAsia="Arial" w:cs="Arial"/>
          <w:color w:val="auto"/>
          <w:szCs w:val="20"/>
        </w:rPr>
        <w:t>A Generic Methodology to Compute Design</w:t>
      </w:r>
      <w:r>
        <w:rPr>
          <w:rFonts w:eastAsia="Arial" w:cs="Arial"/>
          <w:color w:val="auto"/>
          <w:szCs w:val="20"/>
        </w:rPr>
        <w:t xml:space="preserve"> </w:t>
      </w:r>
      <w:r w:rsidRPr="00D20CC3">
        <w:rPr>
          <w:rFonts w:eastAsia="Arial" w:cs="Arial"/>
          <w:color w:val="auto"/>
          <w:szCs w:val="20"/>
        </w:rPr>
        <w:t>Sensitivity to SEU in SRAM-based FPGA</w:t>
      </w:r>
      <w:r>
        <w:rPr>
          <w:rFonts w:eastAsia="Arial" w:cs="Arial"/>
          <w:color w:val="auto"/>
          <w:szCs w:val="20"/>
        </w:rPr>
        <w:t>, DSD2018</w:t>
      </w:r>
      <w:r w:rsidRPr="00D20CC3">
        <w:rPr>
          <w:rFonts w:eastAsia="Arial" w:cs="Arial"/>
          <w:color w:val="auto"/>
          <w:szCs w:val="20"/>
        </w:rPr>
        <w:t>”</w:t>
      </w:r>
      <w:r>
        <w:rPr>
          <w:rFonts w:eastAsia="Arial" w:cs="Arial"/>
          <w:color w:val="auto"/>
          <w:szCs w:val="20"/>
        </w:rPr>
        <w:t>.</w:t>
      </w:r>
    </w:p>
    <w:p w14:paraId="59D57853" w14:textId="77777777" w:rsidR="00B06FD0" w:rsidRPr="00186B7D" w:rsidRDefault="00B06FD0" w:rsidP="00B06FD0">
      <w:pPr>
        <w:autoSpaceDE w:val="0"/>
        <w:autoSpaceDN w:val="0"/>
        <w:adjustRightInd w:val="0"/>
        <w:spacing w:line="240" w:lineRule="auto"/>
        <w:jc w:val="both"/>
      </w:pPr>
    </w:p>
    <w:p w14:paraId="6D75E523" w14:textId="77777777" w:rsidR="00B06FD0" w:rsidRPr="00EB0337" w:rsidRDefault="00B06FD0" w:rsidP="00B06FD0">
      <w:pPr>
        <w:pStyle w:val="ITEAHeading3"/>
      </w:pPr>
      <w:bookmarkStart w:id="46" w:name="_Toc492644968"/>
      <w:bookmarkStart w:id="47" w:name="_Toc398225063"/>
      <w:r>
        <w:t>Approximate DMR-based Reliable Vector Processor</w:t>
      </w:r>
      <w:bookmarkEnd w:id="46"/>
      <w:bookmarkEnd w:id="47"/>
    </w:p>
    <w:p w14:paraId="5EE45983" w14:textId="77777777" w:rsidR="00B06FD0" w:rsidRDefault="00B06FD0" w:rsidP="00B06FD0">
      <w:r>
        <w:rPr>
          <w:rFonts w:hint="eastAsia"/>
        </w:rPr>
        <w:t xml:space="preserve">In this section, a reliable vector processor is proposed which applies approximate </w:t>
      </w:r>
      <w:r>
        <w:t>Double Modular Redundancy (</w:t>
      </w:r>
      <w:r>
        <w:rPr>
          <w:rFonts w:hint="eastAsia"/>
        </w:rPr>
        <w:t>DMR</w:t>
      </w:r>
      <w:r>
        <w:t>)</w:t>
      </w:r>
      <w:r>
        <w:rPr>
          <w:rFonts w:hint="eastAsia"/>
        </w:rPr>
        <w:t xml:space="preserve"> technology</w:t>
      </w:r>
      <w:r>
        <w:t xml:space="preserve"> and can tolerate not only transient errors but also permanent errors</w:t>
      </w:r>
      <w:r>
        <w:rPr>
          <w:rFonts w:hint="eastAsia"/>
        </w:rPr>
        <w:t>. App</w:t>
      </w:r>
      <w:r>
        <w:t xml:space="preserve">roximate DMR is </w:t>
      </w:r>
      <w:r>
        <w:lastRenderedPageBreak/>
        <w:t xml:space="preserve">similar to DMR. The only difference is approximate DMR take a simplified copy as redundancy, which helps save costs. DMR and TMR are the most popular fault tolerant technologies in microarchitecture level. For error detection, DMR is better than TMR, as it saves energy and takes smaller area. For permanent error recovery, DMR and TMR are the same, as the broken components are always needed to be replaced. However, considering transient error recovery, TMR is better, as with TMR, the correct value can be figured out by the voter and </w:t>
      </w:r>
      <w:r w:rsidRPr="00862394">
        <w:t>roll-forward recovery</w:t>
      </w:r>
      <w:r>
        <w:t xml:space="preserve"> can be applied which saves time. While with TMR, rollback recovery is required, which brings overhead in runtime. However, what if we can reduce the SER? Then, the overhead of rollback recovery is reduced and TMR becomes an optimal selection.</w:t>
      </w:r>
      <w:r w:rsidRPr="00BD1217">
        <w:t xml:space="preserve"> </w:t>
      </w:r>
      <w:r>
        <w:t xml:space="preserve">To reduce the SER, we can do fault prevention by hardening the most vulnerable components of the vector processor </w:t>
      </w:r>
      <w:r w:rsidRPr="00E374D4">
        <w:rPr>
          <w:b/>
        </w:rPr>
        <w:t>with the guidance of AVF</w:t>
      </w:r>
      <w:r>
        <w:t>.</w:t>
      </w:r>
    </w:p>
    <w:p w14:paraId="794AE2B5" w14:textId="77777777" w:rsidR="00B06FD0" w:rsidRDefault="00B06FD0" w:rsidP="00B06FD0">
      <w:pPr>
        <w:pStyle w:val="ListParagraph"/>
        <w:widowControl w:val="0"/>
        <w:numPr>
          <w:ilvl w:val="0"/>
          <w:numId w:val="23"/>
        </w:numPr>
        <w:spacing w:line="240" w:lineRule="auto"/>
        <w:contextualSpacing w:val="0"/>
        <w:jc w:val="both"/>
      </w:pPr>
      <w:r>
        <w:rPr>
          <w:rFonts w:hint="eastAsia"/>
        </w:rPr>
        <w:t>Transient fault</w:t>
      </w:r>
    </w:p>
    <w:p w14:paraId="48E83E14" w14:textId="77777777" w:rsidR="00B06FD0" w:rsidRDefault="00B06FD0" w:rsidP="00B06FD0">
      <w:pPr>
        <w:pStyle w:val="ListParagraph"/>
        <w:widowControl w:val="0"/>
        <w:numPr>
          <w:ilvl w:val="1"/>
          <w:numId w:val="23"/>
        </w:numPr>
        <w:spacing w:line="240" w:lineRule="auto"/>
        <w:contextualSpacing w:val="0"/>
        <w:jc w:val="both"/>
      </w:pPr>
      <w:r>
        <w:t>Detection: DMR</w:t>
      </w:r>
    </w:p>
    <w:p w14:paraId="10A256B7" w14:textId="77777777" w:rsidR="00B06FD0" w:rsidRDefault="00B06FD0" w:rsidP="00B06FD0">
      <w:pPr>
        <w:pStyle w:val="ListParagraph"/>
        <w:widowControl w:val="0"/>
        <w:numPr>
          <w:ilvl w:val="1"/>
          <w:numId w:val="23"/>
        </w:numPr>
        <w:spacing w:line="240" w:lineRule="auto"/>
        <w:contextualSpacing w:val="0"/>
        <w:jc w:val="both"/>
      </w:pPr>
      <w:r>
        <w:t>Recovery: Rollback</w:t>
      </w:r>
    </w:p>
    <w:p w14:paraId="3EE56EF7" w14:textId="77777777" w:rsidR="00B06FD0" w:rsidRDefault="00B06FD0" w:rsidP="00B06FD0">
      <w:pPr>
        <w:pStyle w:val="ListParagraph"/>
        <w:widowControl w:val="0"/>
        <w:numPr>
          <w:ilvl w:val="0"/>
          <w:numId w:val="23"/>
        </w:numPr>
        <w:spacing w:line="240" w:lineRule="auto"/>
        <w:contextualSpacing w:val="0"/>
        <w:jc w:val="both"/>
      </w:pPr>
      <w:r>
        <w:t>Permanent fault</w:t>
      </w:r>
    </w:p>
    <w:p w14:paraId="02DED453" w14:textId="77777777" w:rsidR="00B06FD0" w:rsidRDefault="00B06FD0" w:rsidP="00B06FD0">
      <w:pPr>
        <w:pStyle w:val="ListParagraph"/>
        <w:widowControl w:val="0"/>
        <w:numPr>
          <w:ilvl w:val="1"/>
          <w:numId w:val="23"/>
        </w:numPr>
        <w:spacing w:line="240" w:lineRule="auto"/>
        <w:contextualSpacing w:val="0"/>
        <w:jc w:val="both"/>
      </w:pPr>
      <w:r>
        <w:t>Detection</w:t>
      </w:r>
      <w:r>
        <w:rPr>
          <w:rFonts w:hint="eastAsia"/>
        </w:rPr>
        <w:t>: DMR</w:t>
      </w:r>
    </w:p>
    <w:p w14:paraId="3984186B" w14:textId="77777777" w:rsidR="00B06FD0" w:rsidRPr="00BD1217" w:rsidRDefault="00B06FD0" w:rsidP="00B06FD0">
      <w:pPr>
        <w:pStyle w:val="ListParagraph"/>
        <w:widowControl w:val="0"/>
        <w:numPr>
          <w:ilvl w:val="1"/>
          <w:numId w:val="23"/>
        </w:numPr>
        <w:spacing w:line="240" w:lineRule="auto"/>
        <w:contextualSpacing w:val="0"/>
        <w:jc w:val="both"/>
      </w:pPr>
      <w:r>
        <w:t xml:space="preserve">Recovery: Replace with the spare PE and spare Date Memory as shown in Figure 8. Normally the spare PE is not linked into the circular PE network. When one PE is broken, the broken PE is left out, its two </w:t>
      </w:r>
      <w:r w:rsidRPr="00C3602F">
        <w:t>neighbor</w:t>
      </w:r>
      <w:r>
        <w:t xml:space="preserve"> PEs are linked together and the spare PE joins the network and is linked with the first and last PE. Memory banks recovery is in the same way.</w:t>
      </w:r>
    </w:p>
    <w:p w14:paraId="1BA9976B" w14:textId="77777777" w:rsidR="00B06FD0" w:rsidRDefault="00B06FD0" w:rsidP="00B06FD0">
      <w:pPr>
        <w:jc w:val="center"/>
      </w:pPr>
      <w:r>
        <w:rPr>
          <w:noProof/>
          <w:lang w:val="en-US" w:eastAsia="en-US"/>
        </w:rPr>
        <w:drawing>
          <wp:inline distT="0" distB="0" distL="0" distR="0" wp14:anchorId="1559812D" wp14:editId="25BD5E8F">
            <wp:extent cx="3390900" cy="2107388"/>
            <wp:effectExtent l="0" t="0" r="0" b="7620"/>
            <wp:docPr id="34" name="图片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97882" cy="2111727"/>
                    </a:xfrm>
                    <a:prstGeom prst="rect">
                      <a:avLst/>
                    </a:prstGeom>
                    <a:noFill/>
                  </pic:spPr>
                </pic:pic>
              </a:graphicData>
            </a:graphic>
          </wp:inline>
        </w:drawing>
      </w:r>
    </w:p>
    <w:p w14:paraId="5422A67B" w14:textId="77777777" w:rsidR="00B06FD0" w:rsidRDefault="00B06FD0" w:rsidP="00B06FD0">
      <w:pPr>
        <w:pStyle w:val="Caption"/>
      </w:pPr>
      <w:r>
        <w:t>Figure 8 Reliable vector processor</w:t>
      </w:r>
    </w:p>
    <w:p w14:paraId="4B245F2F" w14:textId="3C95E5F3" w:rsidR="00B06FD0" w:rsidRPr="00A661D4" w:rsidRDefault="00B06FD0" w:rsidP="006A0EA3">
      <w:pPr>
        <w:pStyle w:val="ITEABodyText"/>
      </w:pPr>
    </w:p>
    <w:p w14:paraId="0594846E" w14:textId="77777777" w:rsidR="006A0EA3" w:rsidRPr="00A661D4" w:rsidRDefault="006A0EA3" w:rsidP="006A0EA3">
      <w:pPr>
        <w:pStyle w:val="ITEABodyText"/>
      </w:pPr>
    </w:p>
    <w:p w14:paraId="2DA9338C" w14:textId="7185E231" w:rsidR="006A0EA3" w:rsidRDefault="00EB0337" w:rsidP="00EB0337">
      <w:pPr>
        <w:pStyle w:val="ITEAHeading3"/>
      </w:pPr>
      <w:bookmarkStart w:id="48" w:name="_Toc398225064"/>
      <w:r>
        <w:t>Particle filter based state estimation algorithm</w:t>
      </w:r>
      <w:bookmarkEnd w:id="48"/>
      <w:r w:rsidR="006A0EA3">
        <w:tab/>
      </w:r>
    </w:p>
    <w:p w14:paraId="3BCD2132" w14:textId="43791FF5" w:rsidR="00745064" w:rsidRDefault="00745064" w:rsidP="00745064">
      <w:pPr>
        <w:pStyle w:val="ITEABodyText"/>
      </w:pPr>
      <w:r>
        <w:t>A PhD student (Viktorio el Hakim) of the UT together with NXP have been looking into error resilient object detection and tracking. He has considered the problem of mitigating the effects of sampling uncertainty. This has resulted in the definition of a new particle filter based state estimation algorithm. Simulation has been used to determined effectiveness of the proposed approach. The approach and results have been described in a conference paper. Furthermore, a model checker have been developed to determine the worst-case behaviour and what is new also the stability of control loops under sampling uncertainty. This work has been described in a DSD conference paper that has been accepted for publication. NXP did study the use of similar estimation techniques to be applied in the radar context.</w:t>
      </w:r>
    </w:p>
    <w:p w14:paraId="4F2B558E" w14:textId="4770F1D2" w:rsidR="006A0EA3" w:rsidRDefault="006A0EA3" w:rsidP="006A0EA3">
      <w:pPr>
        <w:pStyle w:val="ITEABodyText"/>
      </w:pPr>
    </w:p>
    <w:p w14:paraId="15BFDF65" w14:textId="77777777" w:rsidR="006A0EA3" w:rsidRPr="00A661D4" w:rsidRDefault="006A0EA3" w:rsidP="006A0EA3">
      <w:pPr>
        <w:pStyle w:val="ITEABodyText"/>
      </w:pPr>
    </w:p>
    <w:p w14:paraId="7CE9E00F" w14:textId="15634DA0" w:rsidR="006A0EA3" w:rsidRDefault="00EB0337" w:rsidP="00EB0337">
      <w:pPr>
        <w:pStyle w:val="ITEAHeading3"/>
      </w:pPr>
      <w:bookmarkStart w:id="49" w:name="_Toc398225065"/>
      <w:r>
        <w:t>Fault-Tolerant Network-on-Chip architecture</w:t>
      </w:r>
      <w:bookmarkEnd w:id="49"/>
      <w:r w:rsidR="006A0EA3">
        <w:tab/>
      </w:r>
    </w:p>
    <w:p w14:paraId="33458C65" w14:textId="77777777" w:rsidR="006A0EA3" w:rsidRDefault="006A0EA3" w:rsidP="006A0EA3">
      <w:pPr>
        <w:pStyle w:val="ITEABodyText"/>
      </w:pPr>
      <w:r>
        <w:t>Recore Systems’ work concentrates on fault-tolerant hardware and software techniques in the on-chip interconnect of multi-processor systems-on-chip (SoC) architectures. In these SoCs there are lots of processing elements which communicate with each other. For the communication between these elements, various interconnect architectures like simple bus, hierarchical bus, ring based bus, etc. have been in use.</w:t>
      </w:r>
    </w:p>
    <w:p w14:paraId="0E27DCBB" w14:textId="77777777" w:rsidR="006A0EA3" w:rsidRDefault="006A0EA3" w:rsidP="006A0EA3">
      <w:pPr>
        <w:pStyle w:val="ITEABodyText"/>
      </w:pPr>
      <w:r>
        <w:t xml:space="preserve">However, as the number of cores increases, traditional bus based architectures face problems like bus contention, arbitration, etc., which can be overcome with a Network-on-Chip (NoC) solution. Due to its flexible, </w:t>
      </w:r>
      <w:r>
        <w:lastRenderedPageBreak/>
        <w:t>computer network like architecture, a NoC can support concurrent communication between pairs of nodes in the network, and adapt to changing data transmission requirements.</w:t>
      </w:r>
    </w:p>
    <w:p w14:paraId="2A4BA3D6" w14:textId="2184D142" w:rsidR="006A0EA3" w:rsidRDefault="006A0EA3" w:rsidP="006A0EA3">
      <w:pPr>
        <w:pStyle w:val="ITEABodyText"/>
      </w:pPr>
      <w:r>
        <w:t>The baseline architecture of a Fault-Tolerant Network-on-Chip architecture is defined. The NoC architecture design focuses mainly on the lower layers of the NoC, i.e. the data-link layer and the network layer. The NoC incorporates fault mitigation techniques</w:t>
      </w:r>
      <w:r w:rsidR="00C856E9">
        <w:t xml:space="preserve"> and fault monitoring techniques.</w:t>
      </w:r>
    </w:p>
    <w:p w14:paraId="27CE8CA3" w14:textId="799EFAE9" w:rsidR="00490236" w:rsidRDefault="00B128C3" w:rsidP="00482002">
      <w:pPr>
        <w:pStyle w:val="ITEABodyText"/>
      </w:pPr>
      <w:r>
        <w:t>The FT-NoC enables the creation of fault-tolerant multi-core SoC architectures enabling e.g. fault-tolerant vision processing.</w:t>
      </w:r>
    </w:p>
    <w:p w14:paraId="2E89D15A" w14:textId="77777777" w:rsidR="00490236" w:rsidRDefault="00490236" w:rsidP="00490236">
      <w:pPr>
        <w:pStyle w:val="ITEAHeading3"/>
      </w:pPr>
      <w:bookmarkStart w:id="50" w:name="_Toc520712953"/>
      <w:bookmarkStart w:id="51" w:name="_Toc398225066"/>
      <w:r w:rsidRPr="00D37F99">
        <w:t>Fault tolerance in embedded real time multicore s</w:t>
      </w:r>
      <w:r>
        <w:t>ystems for dataflow applications</w:t>
      </w:r>
      <w:bookmarkEnd w:id="50"/>
      <w:bookmarkEnd w:id="51"/>
      <w:r>
        <w:tab/>
      </w:r>
    </w:p>
    <w:p w14:paraId="78313119" w14:textId="77777777" w:rsidR="00490236" w:rsidRDefault="00490236" w:rsidP="00490236">
      <w:pPr>
        <w:pStyle w:val="ITEABodyText"/>
      </w:pPr>
      <w:r>
        <w:t>We propose the design and implementation of a fault tolerance technique using the dataflow programming model. The technique is implemented for</w:t>
      </w:r>
    </w:p>
    <w:p w14:paraId="12359042" w14:textId="77777777" w:rsidR="00490236" w:rsidRDefault="00490236" w:rsidP="00490236">
      <w:pPr>
        <w:pStyle w:val="ITEABodyText"/>
        <w:numPr>
          <w:ilvl w:val="0"/>
          <w:numId w:val="35"/>
        </w:numPr>
      </w:pPr>
      <w:r>
        <w:t>Embedded systems and</w:t>
      </w:r>
    </w:p>
    <w:p w14:paraId="2BEBF757" w14:textId="77777777" w:rsidR="00490236" w:rsidRDefault="00490236" w:rsidP="00490236">
      <w:pPr>
        <w:pStyle w:val="ITEABodyText"/>
        <w:numPr>
          <w:ilvl w:val="0"/>
          <w:numId w:val="35"/>
        </w:numPr>
      </w:pPr>
      <w:r>
        <w:t>Server-client systems.</w:t>
      </w:r>
    </w:p>
    <w:p w14:paraId="167C8366" w14:textId="77777777" w:rsidR="00490236" w:rsidRDefault="00490236" w:rsidP="00490236">
      <w:pPr>
        <w:pStyle w:val="ITEABodyText"/>
      </w:pPr>
      <w:r>
        <w:t xml:space="preserve">However, the scheme is general enough to be implemented on various embedded systems. We have also analyzed the performance of this scheme by analyzing the recovery time. The scheme is later validated by several experiments, performed on the CompSOC platform.  </w:t>
      </w:r>
    </w:p>
    <w:p w14:paraId="41C99BC6" w14:textId="77777777" w:rsidR="00490236" w:rsidRDefault="00490236" w:rsidP="00490236">
      <w:pPr>
        <w:pStyle w:val="ITEABodyText"/>
      </w:pPr>
      <w:r>
        <w:t xml:space="preserve">Traditionally, programming works on the idea of state, essentially a snapshot of system. These state information are comprehensive and often hidden from programmer. This state information becomes a trouble for the system when a fault occurs. For recovery, the system rolls back to the previous state. Therefore, for fault tolerance, snapshots are saved periodically. Periodic snapshots add complexity to the system. The complexity is in terms of time, space and computation. These snapshots are used for rollback of processes if fault occurs. Taking snapshots periodically add timing overhead. The additional work of checkpointing adds complexity to the software. In addition to that, a separate memory is required to save snapshotperiodically. That results in space overhead. </w:t>
      </w:r>
    </w:p>
    <w:p w14:paraId="6E69CBDA" w14:textId="77777777" w:rsidR="00490236" w:rsidRDefault="00490236" w:rsidP="00490236">
      <w:pPr>
        <w:pStyle w:val="ITEABodyText"/>
      </w:pPr>
      <w:r>
        <w:t>Contrary to that, in dataflow programming, data is available explicitly in the buffer. It emphasizes the movement of data as a series of connections. In short, the basic properties of dataflow programming model can be listed as:</w:t>
      </w:r>
    </w:p>
    <w:p w14:paraId="6BBE4AA0" w14:textId="77777777" w:rsidR="00490236" w:rsidRDefault="00490236" w:rsidP="00490236">
      <w:pPr>
        <w:pStyle w:val="ITEABodyText"/>
        <w:numPr>
          <w:ilvl w:val="0"/>
          <w:numId w:val="36"/>
        </w:numPr>
      </w:pPr>
      <w:r>
        <w:t>Inputs and outputs are explicitly defined. An actor is able to fire as soon as input is available.</w:t>
      </w:r>
    </w:p>
    <w:p w14:paraId="7E41D3A2" w14:textId="77777777" w:rsidR="00490236" w:rsidRDefault="00490236" w:rsidP="00490236">
      <w:pPr>
        <w:pStyle w:val="ITEABodyText"/>
        <w:numPr>
          <w:ilvl w:val="0"/>
          <w:numId w:val="36"/>
        </w:numPr>
      </w:pPr>
      <w:r>
        <w:t>Actors are stateless.</w:t>
      </w:r>
    </w:p>
    <w:p w14:paraId="3E60E344" w14:textId="77777777" w:rsidR="00490236" w:rsidRDefault="00490236" w:rsidP="00490236">
      <w:pPr>
        <w:pStyle w:val="ITEABodyText"/>
        <w:numPr>
          <w:ilvl w:val="0"/>
          <w:numId w:val="36"/>
        </w:numPr>
      </w:pPr>
      <w:r>
        <w:t>All states are in channels. Thus, as long as channels are in a safe storage, actors can fail and be restarted. This explicit data definition also solves the space overhead problem.</w:t>
      </w:r>
    </w:p>
    <w:p w14:paraId="25FB7375" w14:textId="77777777" w:rsidR="00490236" w:rsidRDefault="00490236" w:rsidP="00490236">
      <w:pPr>
        <w:pStyle w:val="ITEABodyText"/>
        <w:numPr>
          <w:ilvl w:val="0"/>
          <w:numId w:val="36"/>
        </w:numPr>
      </w:pPr>
      <w:r>
        <w:t>A producer produces data only if there is space in the buffer and a consumer consumes data only if data is available in the buffer. Therefore, using these listed properties, a fault tolerance technique can be designed for a dependable dataflow.</w:t>
      </w:r>
    </w:p>
    <w:p w14:paraId="3A891B7B" w14:textId="77777777" w:rsidR="00490236" w:rsidRDefault="00490236" w:rsidP="00490236">
      <w:pPr>
        <w:pStyle w:val="ITEABodyText"/>
      </w:pPr>
    </w:p>
    <w:p w14:paraId="38F01E91" w14:textId="77777777" w:rsidR="00490236" w:rsidRDefault="00490236" w:rsidP="00490236">
      <w:pPr>
        <w:pStyle w:val="ITEABodyText"/>
      </w:pPr>
      <w:r>
        <w:t>The proposed fault tolerance technique uses the explicit communication property of the dataflow programming model. This explicit communication property helps in designing a simple fault tolerance scheme because we do not need to take checkpoints periodically.</w:t>
      </w:r>
    </w:p>
    <w:p w14:paraId="6ED17531" w14:textId="77777777" w:rsidR="00490236" w:rsidRDefault="00490236" w:rsidP="00490236">
      <w:pPr>
        <w:pStyle w:val="ITEABodyText"/>
      </w:pPr>
      <w:r>
        <w:t xml:space="preserve">We implemented the technique for </w:t>
      </w:r>
    </w:p>
    <w:p w14:paraId="7489D4CE" w14:textId="77777777" w:rsidR="00490236" w:rsidRDefault="00490236" w:rsidP="00490236">
      <w:pPr>
        <w:pStyle w:val="ITEABodyText"/>
        <w:numPr>
          <w:ilvl w:val="0"/>
          <w:numId w:val="37"/>
        </w:numPr>
      </w:pPr>
      <w:r>
        <w:t>Embedded systems and</w:t>
      </w:r>
    </w:p>
    <w:p w14:paraId="66B5D45A" w14:textId="77777777" w:rsidR="00490236" w:rsidRDefault="00490236" w:rsidP="00490236">
      <w:pPr>
        <w:pStyle w:val="ITEABodyText"/>
        <w:numPr>
          <w:ilvl w:val="0"/>
          <w:numId w:val="37"/>
        </w:numPr>
      </w:pPr>
      <w:r>
        <w:t>Server-client systems.</w:t>
      </w:r>
    </w:p>
    <w:p w14:paraId="68A061BA" w14:textId="77777777" w:rsidR="00490236" w:rsidRDefault="00490236" w:rsidP="00490236">
      <w:pPr>
        <w:pStyle w:val="ITEABodyText"/>
      </w:pPr>
    </w:p>
    <w:p w14:paraId="6BD1FF06" w14:textId="77777777" w:rsidR="00490236" w:rsidRDefault="00490236" w:rsidP="00490236">
      <w:pPr>
        <w:pStyle w:val="ITEABodyText"/>
      </w:pPr>
      <w:r>
        <w:t xml:space="preserve">Furthermore, we discuss timeliness. In particular, many embedded systems execute real-time applications. Therefore, the deadline is an important aspect in deciding the correctness of a system. Even in failure conditions, tasks should meet the deadline, especially for safety critical or hard real time systems. Traditional checkpointing are not considered suitable for real time applications because periodic checkpointing can lead to a deadline miss. Therefore,we evaluate our fault tolerance algorithm in terms of the recovery time. The recovery </w:t>
      </w:r>
      <w:r>
        <w:lastRenderedPageBreak/>
        <w:t>time means the total execution time of the fault tolerance algorithm for the recovery of an actor. We propose a recovery time model for our fault tolerance technique. This recovery time is elapsed only when a failure happens. Otherwise, in normal execution mode, our algorithm does not add any timing overhead. The model confirms the predictability of our scheme.</w:t>
      </w:r>
    </w:p>
    <w:p w14:paraId="72317CF1" w14:textId="77777777" w:rsidR="00490236" w:rsidRDefault="00490236" w:rsidP="00490236">
      <w:pPr>
        <w:pStyle w:val="ITEABodyText"/>
      </w:pPr>
      <w:r>
        <w:t>Further details are available in:</w:t>
      </w:r>
    </w:p>
    <w:p w14:paraId="29AE98E0" w14:textId="2A2B9581" w:rsidR="00D11BAD" w:rsidRPr="00482002" w:rsidRDefault="00490236" w:rsidP="00490236">
      <w:pPr>
        <w:pStyle w:val="ITEABodyText"/>
      </w:pPr>
      <w:r>
        <w:t>Fault tolerance in embedded real time multicore systems for dataflow applications</w:t>
      </w:r>
      <w:r>
        <w:br/>
        <w:t xml:space="preserve">Kunwar, S. (Author). 31 Aug 2017, available at: </w:t>
      </w:r>
      <w:hyperlink r:id="rId26" w:history="1">
        <w:r w:rsidRPr="00D37EA6">
          <w:rPr>
            <w:rStyle w:val="Hyperlink"/>
          </w:rPr>
          <w:t>https://research.tue.nl/en/studentTheses/fault-tolerance-in-embedded-real-time-multicore-systems-for-dataf</w:t>
        </w:r>
      </w:hyperlink>
    </w:p>
    <w:p w14:paraId="35E5875C" w14:textId="77777777" w:rsidR="009614FA" w:rsidRDefault="009614FA" w:rsidP="009614FA">
      <w:pPr>
        <w:pStyle w:val="ITEAHeading1"/>
      </w:pPr>
      <w:bookmarkStart w:id="52" w:name="_Toc398225067"/>
      <w:r>
        <w:lastRenderedPageBreak/>
        <w:t>Safe vehicle control</w:t>
      </w:r>
      <w:r w:rsidR="007C5E63">
        <w:t xml:space="preserve"> cluster</w:t>
      </w:r>
      <w:bookmarkEnd w:id="52"/>
    </w:p>
    <w:p w14:paraId="06FB001C" w14:textId="42AD2EEE" w:rsidR="001F5CEA" w:rsidRDefault="001F5CEA" w:rsidP="001F5CEA">
      <w:pPr>
        <w:pStyle w:val="ITEABodyText"/>
      </w:pPr>
      <w:r>
        <w:t xml:space="preserve">The participants in the safe vehicle control cluster (Verum, UT, (VDL), (TNO))  work on tools for the creation of software  components and temporal analysis techniques for advanced driver assistance functionality in cars and coaches. The main focus is on distributed systems. </w:t>
      </w:r>
    </w:p>
    <w:p w14:paraId="663FD550" w14:textId="77777777" w:rsidR="001F5CEA" w:rsidRDefault="001F5CEA" w:rsidP="001F5CEA">
      <w:pPr>
        <w:pStyle w:val="ITEABodyText"/>
      </w:pPr>
      <w:r>
        <w:t>Concerning analysis and synthesis of the functional behaviour in software the focus is on the use of the Dezyne tool of Verum. This tool allows the specification of state based event driven or concurrent  components; these can be verified for hidden defects, such as deadlocks, after which code can be generated that is guaranteed deadlock free. The main activity has been the identification of a suitable use-case together with VDL which can be realized despite all the restrictions vendors of embedded-compute-units (ECUs) for cars place concerning reprogramming of their units. Furthermore, additional functional verification features are under development for the Dezyne tool.</w:t>
      </w:r>
    </w:p>
    <w:p w14:paraId="39E73F2C" w14:textId="1B74A643" w:rsidR="001F5CEA" w:rsidRDefault="001F5CEA" w:rsidP="001F5CEA">
      <w:pPr>
        <w:pStyle w:val="ITEABodyText"/>
      </w:pPr>
      <w:r>
        <w:t>Concerning temporal analysis techniques, a new refinement theory has been developed and published which allows reordering of data as a result of for example data-parallel computation. Furthermore, the dataflow simulator HAPI has been developed which is able to simulate sharing of resources. Also a more accurate temporal analysis technique has been developed and published. Th</w:t>
      </w:r>
      <w:r w:rsidR="000573B5">
        <w:t>ese</w:t>
      </w:r>
      <w:r>
        <w:t xml:space="preserve"> techniques enables accurate modelling of an application using the more expressive CSDF model. The analysis method has been implemented in an analysis tool which is called Xenoclea.</w:t>
      </w:r>
    </w:p>
    <w:p w14:paraId="776F3E0B" w14:textId="52F9DCCE" w:rsidR="001F5CEA" w:rsidRDefault="001F5CEA" w:rsidP="001F5CEA">
      <w:pPr>
        <w:pStyle w:val="ITEABodyText"/>
      </w:pPr>
      <w:r>
        <w:t xml:space="preserve">Furthermore, TNO has defined a use-case of a distributed control system in coach/truck which makes use of car-2-car communication using WLAN 802.11p. This use-case will be used for the valuation of the developed temporal analysis techniques and the dataflow simulator. TNO is interested to analyse worst-case temporal behaviour as well as the probabilistic temporal behaviour of the system using the developed tools. This temporal behaviour is very important in the considered system because it affects the stability of the control system that will be used for the controlling the distance in a platoon of trucks. </w:t>
      </w:r>
      <w:r w:rsidR="008D4F90">
        <w:t>To relax the temporal requirements more robust state estimation and control techniques have been developed in the cluster. Two papers of Viktorio el Hakim describe these approaches.</w:t>
      </w:r>
    </w:p>
    <w:p w14:paraId="41869B14" w14:textId="77777777" w:rsidR="00B028F0" w:rsidRPr="00FF1E9C" w:rsidRDefault="00B028F0" w:rsidP="00B028F0">
      <w:pPr>
        <w:pStyle w:val="ITEABodyText"/>
      </w:pPr>
    </w:p>
    <w:p w14:paraId="63F8331E" w14:textId="77777777" w:rsidR="00B028F0" w:rsidRDefault="00B028F0" w:rsidP="00B028F0">
      <w:pPr>
        <w:pStyle w:val="ITEAHeading2"/>
      </w:pPr>
      <w:bookmarkStart w:id="53" w:name="_Toc398225068"/>
      <w:r>
        <w:t>Analysis of industrial use cases and requirements</w:t>
      </w:r>
      <w:bookmarkEnd w:id="53"/>
      <w:r w:rsidRPr="003E1B95">
        <w:t xml:space="preserve"> </w:t>
      </w:r>
    </w:p>
    <w:p w14:paraId="2EF2855A" w14:textId="6F2784F3" w:rsidR="001F5CEA" w:rsidRDefault="001F5CEA" w:rsidP="001F5CEA">
      <w:pPr>
        <w:pStyle w:val="ITEABodyText"/>
      </w:pPr>
      <w:r>
        <w:t>U</w:t>
      </w:r>
      <w:r w:rsidR="00323E14">
        <w:t xml:space="preserve">se-case </w:t>
      </w:r>
      <w:r w:rsidR="00323E14">
        <w:rPr>
          <w:i/>
          <w:iCs/>
          <w:szCs w:val="20"/>
        </w:rPr>
        <w:t xml:space="preserve">TNO_UC01 </w:t>
      </w:r>
      <w:r>
        <w:t>is defined by TNO/VDL and its objective is to derive the worst-case and probabilistic temporal behaviour of a network of ECUs in truck platooning setup which is under development by TNO. One of the key challenges is the definition of a formal analysis model that captures the mix of time-triggered and event-driven processing. This model should unambiguously describe the temporal behaviour of the system despite shared resources (e.g. the communication network). Using the model</w:t>
      </w:r>
      <w:r w:rsidR="00B6614E">
        <w:t>,</w:t>
      </w:r>
      <w:r>
        <w:t xml:space="preserve"> it should be possible to compute the worst-case behaviour as well as derive the probability density function which describes the end-to-end latency.</w:t>
      </w:r>
    </w:p>
    <w:p w14:paraId="28F29242" w14:textId="77777777" w:rsidR="001F5CEA" w:rsidRDefault="001F5CEA" w:rsidP="001F5CEA">
      <w:pPr>
        <w:pStyle w:val="ITEABodyText"/>
      </w:pPr>
      <w:r>
        <w:t>Use-case 2 is defined by VDL/Verum and concerns the definition of monitors and/or controllers for ECUs in CAN networks. Monitors should raise alarms when communication with the environment does not adhere to defined protocol/behaviour. Controllers add active communication to this, and as such influence the network. The current proposal is the usage of a separate ECU for monitoring and control because after a long investigation and consultation of the ECU vendor, no suitable way was found to program the ECUs in C that are currently in use by VDL.</w:t>
      </w:r>
    </w:p>
    <w:p w14:paraId="7D548801" w14:textId="77777777" w:rsidR="001F5CEA" w:rsidRDefault="001F5CEA" w:rsidP="00B028F0">
      <w:pPr>
        <w:pStyle w:val="ITEABodyText"/>
      </w:pPr>
    </w:p>
    <w:p w14:paraId="4EDBC700" w14:textId="5E509B2E" w:rsidR="00B028F0" w:rsidRPr="00BF21AC" w:rsidRDefault="00B028F0" w:rsidP="00B028F0">
      <w:pPr>
        <w:pStyle w:val="ITEAHeading2"/>
      </w:pPr>
      <w:bookmarkStart w:id="54" w:name="_Toc398225069"/>
      <w:r>
        <w:t>Proposed tool</w:t>
      </w:r>
      <w:r w:rsidR="00BA5C6F">
        <w:t>s and methods</w:t>
      </w:r>
      <w:bookmarkEnd w:id="54"/>
    </w:p>
    <w:p w14:paraId="7D4B94FB" w14:textId="0B439025" w:rsidR="00B028F0" w:rsidRPr="00B028F0" w:rsidRDefault="000F630A" w:rsidP="00B028F0">
      <w:pPr>
        <w:pStyle w:val="ITEABodyText"/>
      </w:pPr>
      <w:r>
        <w:rPr>
          <w:lang w:val="en-US"/>
        </w:rPr>
        <w:t>In the safe vehicle control cluster there are no plans to define one overall tool flow that makes use of developed tools. The main reason is that most of the tools that are under development address different aspects of a design and do not benefit from results of other tools. One exception is probably the work on Xenoclea and HAPI where the simulator can be (and is) used to falsify analysis results. In the future it is likely that exchange of data with a model checker like Uppaal will be added.</w:t>
      </w:r>
    </w:p>
    <w:p w14:paraId="77AE77A0" w14:textId="160F36D1" w:rsidR="000F630A" w:rsidRDefault="00BA5C6F" w:rsidP="000F630A">
      <w:pPr>
        <w:pStyle w:val="ITEAHeading4"/>
      </w:pPr>
      <w:bookmarkStart w:id="55" w:name="_Toc398225070"/>
      <w:r>
        <w:lastRenderedPageBreak/>
        <w:t>Xenoclea</w:t>
      </w:r>
      <w:bookmarkEnd w:id="55"/>
    </w:p>
    <w:p w14:paraId="7B302E81" w14:textId="6DE4FB96" w:rsidR="000F630A" w:rsidRDefault="000F630A" w:rsidP="000F630A">
      <w:pPr>
        <w:pStyle w:val="ITEABodyText"/>
      </w:pPr>
      <w:r>
        <w:t xml:space="preserve">Xenoclea is a temporal analysis tool developed by the UT/NXP. This tool is suitable for the analysis of task graph running on multiprocessor systems in which the processors are shared. </w:t>
      </w:r>
      <w:r w:rsidR="008D4F90">
        <w:t>Different schedulers are supported including fixed priority preemptive. The task communicate using finite FIFO buffers resulting in a cyclic dataflow analysis model. The accuracy of the tool has been evaluated and compared to other state-of-the art approaches. A description can be found in the PhD thesis of Philip Kurtin. The overall conclusion is that it outperforms existing approaches in many cases for cyclic task graphs. The claim that it is the ultimate analysis approach cannot be made because the temporal analysis problem has been shown to be undecidable in general.</w:t>
      </w:r>
    </w:p>
    <w:p w14:paraId="027514F6" w14:textId="77777777" w:rsidR="000F630A" w:rsidRDefault="000F630A" w:rsidP="000F630A">
      <w:pPr>
        <w:pStyle w:val="ITEABodyText"/>
      </w:pPr>
    </w:p>
    <w:p w14:paraId="60B1CBDA" w14:textId="2DD8DC04" w:rsidR="000F630A" w:rsidRPr="00670383" w:rsidRDefault="00BA5C6F" w:rsidP="000F630A">
      <w:pPr>
        <w:pStyle w:val="ITEAHeading4"/>
      </w:pPr>
      <w:bookmarkStart w:id="56" w:name="_Toc398225071"/>
      <w:r>
        <w:t>Dezyne</w:t>
      </w:r>
      <w:bookmarkEnd w:id="56"/>
    </w:p>
    <w:p w14:paraId="25D64D74" w14:textId="70F16BEA" w:rsidR="000F630A" w:rsidRDefault="000F630A" w:rsidP="000F630A">
      <w:pPr>
        <w:pStyle w:val="ITEABodyText"/>
      </w:pPr>
      <w:r>
        <w:t xml:space="preserve">Dezyne is an event-driven modelling tool developed by Verum. The typical application of Dezyne in the automotive domain requires Dezyne models to be executed on an ECU in a CAN bus network. The CAN standard requires all nodes on the CAN network to be synchronized to sample every bit on the CAN network at the same time. Dezyne models with their discrete event-driven approach have to interface with the CAN oriented world. Such interfaces will </w:t>
      </w:r>
      <w:r w:rsidR="00102968">
        <w:t xml:space="preserve">be </w:t>
      </w:r>
      <w:r>
        <w:t xml:space="preserve">developed. </w:t>
      </w:r>
    </w:p>
    <w:p w14:paraId="1B37A4CD" w14:textId="37C7818A" w:rsidR="00B028F0" w:rsidRPr="00482002" w:rsidRDefault="000F630A" w:rsidP="000F630A">
      <w:pPr>
        <w:pStyle w:val="ITEABodyText"/>
      </w:pPr>
      <w:r>
        <w:t>Furthermore</w:t>
      </w:r>
      <w:r w:rsidR="00102968">
        <w:t>,</w:t>
      </w:r>
      <w:r>
        <w:t xml:space="preserve"> we investigate</w:t>
      </w:r>
      <w:r w:rsidR="005F72CB">
        <w:t>d</w:t>
      </w:r>
      <w:r>
        <w:t xml:space="preserve"> the possibilities to extend Dezyne with a formalism for functional verification, where the user can specify certain properties of the observable behaviour of a design. A specification language for such properties is needed, and tooling to check the design against these properties.</w:t>
      </w:r>
    </w:p>
    <w:p w14:paraId="40BA0A24" w14:textId="77777777" w:rsidR="00B028F0" w:rsidRPr="00B028F0" w:rsidRDefault="00B028F0" w:rsidP="00B028F0">
      <w:pPr>
        <w:pStyle w:val="ITEABodyText"/>
      </w:pPr>
    </w:p>
    <w:p w14:paraId="3C23CD5D" w14:textId="77777777" w:rsidR="00FF5254" w:rsidRDefault="00DF5717" w:rsidP="00E10FC5">
      <w:pPr>
        <w:pStyle w:val="ITEAHeading1"/>
        <w:rPr>
          <w:lang w:val="en-US"/>
        </w:rPr>
      </w:pPr>
      <w:r w:rsidRPr="00A15F46">
        <w:rPr>
          <w:lang w:val="en-US"/>
        </w:rPr>
        <w:lastRenderedPageBreak/>
        <w:t xml:space="preserve"> </w:t>
      </w:r>
      <w:bookmarkStart w:id="57" w:name="_Toc398225072"/>
      <w:r w:rsidR="00A15F46">
        <w:rPr>
          <w:lang w:val="en-US"/>
        </w:rPr>
        <w:t>Consumer electronics cluster</w:t>
      </w:r>
      <w:bookmarkEnd w:id="57"/>
    </w:p>
    <w:p w14:paraId="78E9B8D9" w14:textId="77777777" w:rsidR="008A5537" w:rsidRDefault="008A5537" w:rsidP="008A5537">
      <w:pPr>
        <w:pStyle w:val="ITEABodyText"/>
        <w:rPr>
          <w:lang w:val="en-US"/>
        </w:rPr>
      </w:pPr>
      <w:r>
        <w:rPr>
          <w:lang w:val="en-US" w:eastAsia="en-US"/>
        </w:rPr>
        <w:t>Smart devices and components has been widely employed in recent years. New and previously unforeseen application areas for smart components emerge frequently. Although application areas are different, efficiency and scalability is the common and premium requirement of the smart components. Hence, the underlying embedded controllers mostly rely on multi-core architectures or allow concurrent programs.</w:t>
      </w:r>
    </w:p>
    <w:p w14:paraId="3965522C" w14:textId="77777777" w:rsidR="008A5537" w:rsidRDefault="008A5537" w:rsidP="008A5537">
      <w:pPr>
        <w:pStyle w:val="ITEABodyText"/>
        <w:rPr>
          <w:lang w:val="en-US"/>
        </w:rPr>
      </w:pPr>
      <w:r>
        <w:rPr>
          <w:lang w:val="en-US" w:eastAsia="en-US"/>
        </w:rPr>
        <w:t xml:space="preserve">To achieve better performance, programs tend to adopt techniques that increase the level of concurrency. However, highly concurrent programs enable enormous number of possible interleavings and different executions which make reasoning about the correctness of the program difficult and make the programs error-prone. Some concurrency bugs occur in subtle and/or rare conditions and it is difficult to detect them by standard testing methods. Hence, formal treatment (verification or validation) is crucial for mission-critical or safety critical components of the programs. </w:t>
      </w:r>
    </w:p>
    <w:p w14:paraId="7F0E26D7" w14:textId="77777777" w:rsidR="008A5537" w:rsidRDefault="008A5537" w:rsidP="008A5537">
      <w:pPr>
        <w:pStyle w:val="ITEABodyText"/>
        <w:rPr>
          <w:lang w:val="en-US"/>
        </w:rPr>
      </w:pPr>
      <w:r>
        <w:rPr>
          <w:lang w:val="en-US" w:eastAsia="en-US"/>
        </w:rPr>
        <w:t xml:space="preserve">However, verifying a concurrent program by doing formal proofs and static analysis is not an easy task. The first difficulty arises because of the gap between the theory and practice. The widely accepted model for reasoning about the behaviors and semantics of concurrent programs is Sequential Consistency (SC) defined by Lamport </w:t>
      </w:r>
      <w:sdt>
        <w:sdtPr>
          <w:rPr>
            <w:lang w:val="en-US" w:eastAsia="en-US"/>
          </w:rPr>
          <w:id w:val="-245415080"/>
          <w:citation/>
        </w:sdtPr>
        <w:sdtEndPr/>
        <w:sdtContent>
          <w:r>
            <w:rPr>
              <w:lang w:val="en-US" w:eastAsia="en-US"/>
            </w:rPr>
            <w:fldChar w:fldCharType="begin"/>
          </w:r>
          <w:r>
            <w:rPr>
              <w:lang w:val="en-US" w:eastAsia="en-US"/>
            </w:rPr>
            <w:instrText xml:space="preserve">CITATION Les79 \l 1033 </w:instrText>
          </w:r>
          <w:r>
            <w:rPr>
              <w:lang w:val="en-US" w:eastAsia="en-US"/>
            </w:rPr>
            <w:fldChar w:fldCharType="separate"/>
          </w:r>
          <w:r w:rsidR="00271835">
            <w:rPr>
              <w:noProof/>
              <w:lang w:val="en-US" w:eastAsia="en-US"/>
            </w:rPr>
            <w:t>(Lamport, 1979)</w:t>
          </w:r>
          <w:r>
            <w:rPr>
              <w:lang w:val="en-US" w:eastAsia="en-US"/>
            </w:rPr>
            <w:fldChar w:fldCharType="end"/>
          </w:r>
        </w:sdtContent>
      </w:sdt>
      <w:r>
        <w:rPr>
          <w:lang w:val="en-US" w:eastAsia="en-US"/>
        </w:rPr>
        <w:t xml:space="preserve">. In SC, all operations of an execution appear to be in some sequential order and operations from the same execution unit appear in this execution in the order specified by the program. SC is an elegant and powerful enough to describe concurrent programs but it is not realistic. Most modern hardware architectures (Intel x86, PowerPC, Arm …), including GPUs and programming language specifications (C, C++ 2011) allow “relaxations” which enable programs to produce more behaviors than SC ones. </w:t>
      </w:r>
    </w:p>
    <w:p w14:paraId="5CF50389" w14:textId="77777777" w:rsidR="008A5537" w:rsidRDefault="008A5537" w:rsidP="008A5537">
      <w:pPr>
        <w:pStyle w:val="ITEABodyText"/>
        <w:rPr>
          <w:lang w:val="en-US"/>
        </w:rPr>
      </w:pPr>
      <w:r>
        <w:rPr>
          <w:lang w:val="en-US" w:eastAsia="en-US"/>
        </w:rPr>
        <w:t>The relaxations in hardware and programming language specifications are necessary for performance reasons. Relaxations are diverse and there are still significant examples of programming languages and hardware architectures that lack the formal semantic model. In the recent literature, relaxations are described by allowing statement reorderings in SC, imposing some relations among program actions as constraints on the executions or adding machines and data structures to SC programs for an operational description.</w:t>
      </w:r>
    </w:p>
    <w:p w14:paraId="3E957B4E" w14:textId="77777777" w:rsidR="008A5537" w:rsidRDefault="008A5537" w:rsidP="008A5537">
      <w:pPr>
        <w:pStyle w:val="ITEABodyText"/>
        <w:rPr>
          <w:lang w:val="en-US"/>
        </w:rPr>
      </w:pPr>
      <w:r>
        <w:rPr>
          <w:lang w:val="en-US" w:eastAsia="en-US"/>
        </w:rPr>
        <w:t xml:space="preserve">Reasoning techniques and proof tools are well-developed for programs running on SC semantics. The well-known Owicki-Gries (OG) reasoning </w:t>
      </w:r>
      <w:sdt>
        <w:sdtPr>
          <w:rPr>
            <w:lang w:val="en-US" w:eastAsia="en-US"/>
          </w:rPr>
          <w:id w:val="184018292"/>
          <w:citation/>
        </w:sdtPr>
        <w:sdtEndPr/>
        <w:sdtContent>
          <w:r>
            <w:rPr>
              <w:lang w:val="en-US" w:eastAsia="en-US"/>
            </w:rPr>
            <w:fldChar w:fldCharType="begin"/>
          </w:r>
          <w:r>
            <w:rPr>
              <w:lang w:val="en-US" w:eastAsia="en-US"/>
            </w:rPr>
            <w:instrText xml:space="preserve"> CITATION Sus76 \l 1033 </w:instrText>
          </w:r>
          <w:r>
            <w:rPr>
              <w:lang w:val="en-US" w:eastAsia="en-US"/>
            </w:rPr>
            <w:fldChar w:fldCharType="separate"/>
          </w:r>
          <w:r w:rsidR="00271835">
            <w:rPr>
              <w:noProof/>
              <w:lang w:val="en-US" w:eastAsia="en-US"/>
            </w:rPr>
            <w:t>(Gries, 1976)</w:t>
          </w:r>
          <w:r>
            <w:rPr>
              <w:lang w:val="en-US" w:eastAsia="en-US"/>
            </w:rPr>
            <w:fldChar w:fldCharType="end"/>
          </w:r>
        </w:sdtContent>
      </w:sdt>
      <w:r>
        <w:rPr>
          <w:lang w:val="en-US" w:eastAsia="en-US"/>
        </w:rPr>
        <w:t xml:space="preserve"> can be utilized for checking correctness of local assertions and Lipton’s theory of reduction </w:t>
      </w:r>
      <w:sdt>
        <w:sdtPr>
          <w:rPr>
            <w:lang w:val="en-US" w:eastAsia="en-US"/>
          </w:rPr>
          <w:id w:val="-360967463"/>
          <w:citation/>
        </w:sdtPr>
        <w:sdtEndPr/>
        <w:sdtContent>
          <w:r>
            <w:rPr>
              <w:lang w:val="en-US" w:eastAsia="en-US"/>
            </w:rPr>
            <w:fldChar w:fldCharType="begin"/>
          </w:r>
          <w:r>
            <w:rPr>
              <w:lang w:val="en-US" w:eastAsia="en-US"/>
            </w:rPr>
            <w:instrText xml:space="preserve"> CITATION Ric75 \l 1033 </w:instrText>
          </w:r>
          <w:r>
            <w:rPr>
              <w:lang w:val="en-US" w:eastAsia="en-US"/>
            </w:rPr>
            <w:fldChar w:fldCharType="separate"/>
          </w:r>
          <w:r w:rsidR="00271835">
            <w:rPr>
              <w:noProof/>
              <w:lang w:val="en-US" w:eastAsia="en-US"/>
            </w:rPr>
            <w:t>(Lipton, 1975)</w:t>
          </w:r>
          <w:r>
            <w:rPr>
              <w:lang w:val="en-US" w:eastAsia="en-US"/>
            </w:rPr>
            <w:fldChar w:fldCharType="end"/>
          </w:r>
        </w:sdtContent>
      </w:sdt>
      <w:r>
        <w:rPr>
          <w:lang w:val="en-US" w:eastAsia="en-US"/>
        </w:rPr>
        <w:t xml:space="preserve"> combined with abstraction techniques can be used for performing refinement proofs. However, there are no practically applicable tool or method for verifying programs running on relaxed semantics.</w:t>
      </w:r>
    </w:p>
    <w:p w14:paraId="07A845B1" w14:textId="77777777" w:rsidR="008A5537" w:rsidRDefault="008A5537" w:rsidP="008A5537">
      <w:pPr>
        <w:pStyle w:val="ITEABodyText"/>
        <w:rPr>
          <w:lang w:val="en-US"/>
        </w:rPr>
      </w:pPr>
      <w:r>
        <w:rPr>
          <w:lang w:val="en-US" w:eastAsia="en-US"/>
        </w:rPr>
        <w:t xml:space="preserve">Our aim in the scope of this project is to develop a proof system that enables refinement and linearizability proofs for programs running on weak semantics. Core of our method is to start from the most abstract specification of the program and reach to a concrete program in which all of the atomic actions of the program correspond to actual assembly level instructions, via a sequence of refinement proofs. We aim to leverage the power of already existing proof methods for SC for performing the refinement proofs. We transform original program </w:t>
      </w:r>
      <w:r w:rsidRPr="00563C8E">
        <w:rPr>
          <w:i/>
          <w:lang w:val="en-US" w:eastAsia="en-US"/>
        </w:rPr>
        <w:t>P</w:t>
      </w:r>
      <w:r>
        <w:rPr>
          <w:lang w:val="en-US" w:eastAsia="en-US"/>
        </w:rPr>
        <w:t xml:space="preserve"> to another program </w:t>
      </w:r>
      <w:r w:rsidRPr="00563C8E">
        <w:rPr>
          <w:i/>
          <w:lang w:val="en-US" w:eastAsia="en-US"/>
        </w:rPr>
        <w:t>P’</w:t>
      </w:r>
      <w:r>
        <w:rPr>
          <w:lang w:val="en-US" w:eastAsia="en-US"/>
        </w:rPr>
        <w:t xml:space="preserve"> by explicitly adding operational semantics of the relaxed memory model such that every relaxed execution of </w:t>
      </w:r>
      <w:r w:rsidRPr="00563C8E">
        <w:rPr>
          <w:i/>
          <w:lang w:val="en-US" w:eastAsia="en-US"/>
        </w:rPr>
        <w:t>P</w:t>
      </w:r>
      <w:r>
        <w:rPr>
          <w:lang w:val="en-US" w:eastAsia="en-US"/>
        </w:rPr>
        <w:t xml:space="preserve"> is also an SC execution of </w:t>
      </w:r>
      <w:r w:rsidRPr="00563C8E">
        <w:rPr>
          <w:i/>
          <w:lang w:val="en-US" w:eastAsia="en-US"/>
        </w:rPr>
        <w:t>P’</w:t>
      </w:r>
      <w:r>
        <w:rPr>
          <w:lang w:val="en-US" w:eastAsia="en-US"/>
        </w:rPr>
        <w:t>. Hence, proving linearizability or refinement of the transformed</w:t>
      </w:r>
      <w:r>
        <w:rPr>
          <w:i/>
          <w:lang w:val="en-US" w:eastAsia="en-US"/>
        </w:rPr>
        <w:t xml:space="preserve"> </w:t>
      </w:r>
      <w:r>
        <w:rPr>
          <w:lang w:val="en-US" w:eastAsia="en-US"/>
        </w:rPr>
        <w:t>program using the SC proof rules is sufficient for showing that the original relaxed programs refinement or linearizability.</w:t>
      </w:r>
    </w:p>
    <w:p w14:paraId="5D864F6C" w14:textId="77777777" w:rsidR="008A5537" w:rsidRPr="00F85549" w:rsidRDefault="008A5537" w:rsidP="008A5537">
      <w:pPr>
        <w:pStyle w:val="ITEABodyText"/>
        <w:rPr>
          <w:lang w:val="en-US"/>
        </w:rPr>
      </w:pPr>
      <w:r>
        <w:rPr>
          <w:lang w:val="en-US" w:eastAsia="en-US"/>
        </w:rPr>
        <w:t>We pick x86-TSO as our sample relaxed model since it describes the memory model of x86 Intel machines and a useful fragment of the C, C++ 2011 specification. Operationally, TSO can be described on SC as follows: each execution unit (thread or core) keeps a local stack for write (update) operations. Different from SC, write operations on global variables are not directly reflected to shared memory, but they are pushed to local stacks. These stacks can nondeterministically interfere into execution and perform pops. In addition, read operations on global variables first try to read from the local stack to check if there is a recent update on this variable that has not been reflected to shared memory yet. This model is simple enough to allow explicit program transformation, yet powerful enough to yield non-SC executions by delaying write operations.</w:t>
      </w:r>
    </w:p>
    <w:p w14:paraId="04A1BDF3" w14:textId="77777777" w:rsidR="008A5537" w:rsidRDefault="008A5537" w:rsidP="008A5537">
      <w:pPr>
        <w:pStyle w:val="ITEAHeading2"/>
      </w:pPr>
      <w:bookmarkStart w:id="58" w:name="_Toc469767677"/>
      <w:bookmarkStart w:id="59" w:name="_Toc398225073"/>
      <w:r>
        <w:t>Benchmark Data Structures and Synchronization Primitives</w:t>
      </w:r>
      <w:bookmarkEnd w:id="58"/>
      <w:bookmarkEnd w:id="59"/>
    </w:p>
    <w:p w14:paraId="4C00D357" w14:textId="77777777" w:rsidR="008A5537" w:rsidRDefault="008A5537" w:rsidP="008A5537">
      <w:pPr>
        <w:pStyle w:val="ITEABodyText"/>
      </w:pPr>
      <w:r>
        <w:t xml:space="preserve">Static analysis methods are robust and used for formal proofs about programs. However, performing proofs is a tedious task that mostly needs human effort and intervention since most of the problems considered are undecidable by their nature. Hence, they are used for verifying mission-critical or safety critical components of </w:t>
      </w:r>
      <w:r>
        <w:lastRenderedPageBreak/>
        <w:t>the programs. We pick important data structures and synchronization primitives from the literature to show applicability of our approach. The examples we pick are widely employed in real industrial applications and their correctness is crucial for correct functioning of the programs. In this section, we will present, analyse and show importance of these benchmark examples.</w:t>
      </w:r>
    </w:p>
    <w:p w14:paraId="56B8960F" w14:textId="77777777" w:rsidR="008A5537" w:rsidRDefault="008A5537" w:rsidP="008A5537">
      <w:pPr>
        <w:pStyle w:val="ITEABodyText"/>
      </w:pPr>
      <w:r>
        <w:rPr>
          <w:b/>
        </w:rPr>
        <w:t xml:space="preserve">Spinlock: </w:t>
      </w:r>
      <w:r>
        <w:t>Locks are important synchronization primitives that are used to protect critical sections and provide synchronization among threads. Spinlock is a widely used CAS based locking mechanism. For this example we aim to show that spinlock adheres to its atomic specification under relaxed semantics.</w:t>
      </w:r>
    </w:p>
    <w:p w14:paraId="0261950B" w14:textId="77777777" w:rsidR="008A5537" w:rsidRDefault="008A5537" w:rsidP="008A5537">
      <w:pPr>
        <w:pStyle w:val="ITEABodyText"/>
      </w:pPr>
      <w:r>
        <w:rPr>
          <w:b/>
        </w:rPr>
        <w:t>Double Checked Locking:</w:t>
      </w:r>
      <w:r>
        <w:t xml:space="preserve"> An optimized concurrent software engineering paradigm for initializing objects or assigning values to objects based on locking. We developed a simple procedure that performs assignment using double checked locking, utilizing a spinlock. We aim to verify that the method adheres to its atomic specification.</w:t>
      </w:r>
    </w:p>
    <w:p w14:paraId="749F876E" w14:textId="77777777" w:rsidR="008A5537" w:rsidRDefault="008A5537" w:rsidP="008A5537">
      <w:pPr>
        <w:pStyle w:val="ITEABodyText"/>
      </w:pPr>
      <w:r>
        <w:rPr>
          <w:b/>
        </w:rPr>
        <w:t xml:space="preserve">Send / Receive Example: </w:t>
      </w:r>
      <w:r>
        <w:t>A simple synchronization mechanism that allows execution units to communicate through a shared flag variable. Using this variable in a careful way, an execution unit prevents another execution unit to read shared variables before it reflects all of its changes. We provide sample sender and receiver methods in this example and aim to show that values read by the receiver method is exactly the ones updated by the sender by providing local assertions.</w:t>
      </w:r>
    </w:p>
    <w:p w14:paraId="271B8F42" w14:textId="77777777" w:rsidR="008A5537" w:rsidRPr="006D73A9" w:rsidRDefault="008A5537" w:rsidP="008A5537">
      <w:pPr>
        <w:pStyle w:val="ITEABodyText"/>
      </w:pPr>
      <w:r>
        <w:rPr>
          <w:b/>
        </w:rPr>
        <w:t xml:space="preserve">Chase-Lev Deque (CLDeq) </w:t>
      </w:r>
      <w:sdt>
        <w:sdtPr>
          <w:rPr>
            <w:b/>
          </w:rPr>
          <w:id w:val="-137581900"/>
          <w:citation/>
        </w:sdtPr>
        <w:sdtEndPr/>
        <w:sdtContent>
          <w:r>
            <w:rPr>
              <w:b/>
            </w:rPr>
            <w:fldChar w:fldCharType="begin"/>
          </w:r>
          <w:r>
            <w:rPr>
              <w:b/>
              <w:lang w:val="en-US"/>
            </w:rPr>
            <w:instrText xml:space="preserve"> CITATION Dav05 \l 1033 </w:instrText>
          </w:r>
          <w:r>
            <w:rPr>
              <w:b/>
            </w:rPr>
            <w:fldChar w:fldCharType="separate"/>
          </w:r>
          <w:r w:rsidR="00271835">
            <w:rPr>
              <w:noProof/>
              <w:lang w:val="en-US"/>
            </w:rPr>
            <w:t>(Lev, 2005)</w:t>
          </w:r>
          <w:r>
            <w:rPr>
              <w:b/>
            </w:rPr>
            <w:fldChar w:fldCharType="end"/>
          </w:r>
        </w:sdtContent>
      </w:sdt>
      <w:r>
        <w:rPr>
          <w:b/>
        </w:rPr>
        <w:t>:</w:t>
      </w:r>
      <w:r>
        <w:t xml:space="preserve"> A double-ended queue (deque in short) is a concurrent data structure. A special thread called worker thread could perform </w:t>
      </w:r>
      <w:r>
        <w:rPr>
          <w:i/>
        </w:rPr>
        <w:t>put</w:t>
      </w:r>
      <w:r>
        <w:t xml:space="preserve"> and </w:t>
      </w:r>
      <w:r w:rsidRPr="006D73A9">
        <w:rPr>
          <w:i/>
        </w:rPr>
        <w:t>take</w:t>
      </w:r>
      <w:r>
        <w:rPr>
          <w:i/>
        </w:rPr>
        <w:t xml:space="preserve"> </w:t>
      </w:r>
      <w:r>
        <w:t xml:space="preserve">operations could insert and remove elements from the tail of the deque, respectively. Concurrently, other threads (called stealer threads) could perform </w:t>
      </w:r>
      <w:r>
        <w:rPr>
          <w:i/>
        </w:rPr>
        <w:t xml:space="preserve">steal </w:t>
      </w:r>
      <w:r>
        <w:t xml:space="preserve">operations that can remove elements from the head of the deque. Deque is a key data structure used in task-based concurrent platforms and its correctness is crucial for distribution of tasks. CLDeq is a high-performance, complicated deque implementation. It has been shown that non-SC behaviorus of CLDeq exist under TSO semantics. Hence, the usual deque specifications may not be satisfied by TSO executions of CLDeq. We aim to find tight enough (yet more relaxed than the original deque specs) atomic specifications and show that CLDeq refines these specifications. </w:t>
      </w:r>
    </w:p>
    <w:p w14:paraId="6753B0F7" w14:textId="77777777" w:rsidR="008A5537" w:rsidRPr="00BF21AC" w:rsidRDefault="008A5537" w:rsidP="008A5537">
      <w:pPr>
        <w:pStyle w:val="ITEAHeading2"/>
      </w:pPr>
      <w:bookmarkStart w:id="60" w:name="_Toc469767678"/>
      <w:bookmarkStart w:id="61" w:name="_Toc398225074"/>
      <w:r>
        <w:t>Proposed tool flow and desired tool extensions</w:t>
      </w:r>
      <w:bookmarkEnd w:id="60"/>
      <w:bookmarkEnd w:id="61"/>
    </w:p>
    <w:p w14:paraId="10B8D358" w14:textId="77777777" w:rsidR="008A5537" w:rsidRDefault="008A5537" w:rsidP="008A5537">
      <w:pPr>
        <w:pStyle w:val="ITEAHeading3"/>
        <w:rPr>
          <w:lang w:val="en-US"/>
        </w:rPr>
      </w:pPr>
      <w:bookmarkStart w:id="62" w:name="_Toc469767679"/>
      <w:bookmarkStart w:id="63" w:name="_Toc398225075"/>
      <w:r>
        <w:rPr>
          <w:lang w:val="en-US"/>
        </w:rPr>
        <w:t>Global toolflow organization</w:t>
      </w:r>
      <w:bookmarkEnd w:id="62"/>
      <w:bookmarkEnd w:id="63"/>
    </w:p>
    <w:p w14:paraId="1D9081C1" w14:textId="77777777" w:rsidR="008A5537" w:rsidRDefault="008A5537" w:rsidP="008A5537">
      <w:pPr>
        <w:pStyle w:val="ITEABodyText"/>
        <w:rPr>
          <w:lang w:val="en-US"/>
        </w:rPr>
      </w:pPr>
      <w:r>
        <w:rPr>
          <w:lang w:val="en-US"/>
        </w:rPr>
        <w:t xml:space="preserve">BoogiePL </w:t>
      </w:r>
      <w:sdt>
        <w:sdtPr>
          <w:rPr>
            <w:lang w:val="en-US"/>
          </w:rPr>
          <w:id w:val="1220172841"/>
          <w:citation/>
        </w:sdtPr>
        <w:sdtEndPr/>
        <w:sdtContent>
          <w:r>
            <w:rPr>
              <w:lang w:val="en-US"/>
            </w:rPr>
            <w:fldChar w:fldCharType="begin"/>
          </w:r>
          <w:r>
            <w:rPr>
              <w:lang w:val="en-US"/>
            </w:rPr>
            <w:instrText xml:space="preserve"> CITATION Mik05 \l 1033 </w:instrText>
          </w:r>
          <w:r>
            <w:rPr>
              <w:lang w:val="en-US"/>
            </w:rPr>
            <w:fldChar w:fldCharType="separate"/>
          </w:r>
          <w:r w:rsidR="00271835">
            <w:rPr>
              <w:noProof/>
              <w:lang w:val="en-US"/>
            </w:rPr>
            <w:t>(Mike Barnett, 2005)</w:t>
          </w:r>
          <w:r>
            <w:rPr>
              <w:lang w:val="en-US"/>
            </w:rPr>
            <w:fldChar w:fldCharType="end"/>
          </w:r>
        </w:sdtContent>
      </w:sdt>
      <w:r>
        <w:rPr>
          <w:lang w:val="en-US"/>
        </w:rPr>
        <w:t xml:space="preserve"> is an intermediate verification language that is used for describing proof obligations from various domains and Boogie is the tool developed by Microsoft Research to translate proof obligations in Boogie PL to SMT formulae and check their satisfiability using SMT solvers. CIVL </w:t>
      </w:r>
      <w:sdt>
        <w:sdtPr>
          <w:rPr>
            <w:lang w:val="en-US"/>
          </w:rPr>
          <w:id w:val="-1707018440"/>
          <w:citation/>
        </w:sdtPr>
        <w:sdtEndPr/>
        <w:sdtContent>
          <w:r>
            <w:rPr>
              <w:lang w:val="en-US"/>
            </w:rPr>
            <w:fldChar w:fldCharType="begin"/>
          </w:r>
          <w:r>
            <w:rPr>
              <w:lang w:val="en-US"/>
            </w:rPr>
            <w:instrText xml:space="preserve"> CITATION Tas \l 1033 </w:instrText>
          </w:r>
          <w:r>
            <w:rPr>
              <w:lang w:val="en-US"/>
            </w:rPr>
            <w:fldChar w:fldCharType="separate"/>
          </w:r>
          <w:r w:rsidR="00271835" w:rsidRPr="00271835">
            <w:rPr>
              <w:noProof/>
              <w:lang w:val="en-US"/>
            </w:rPr>
            <w:t>(Qadeer, Tasiran, &amp; Hawblitzel, 2015)</w:t>
          </w:r>
          <w:r>
            <w:rPr>
              <w:lang w:val="en-US"/>
            </w:rPr>
            <w:fldChar w:fldCharType="end"/>
          </w:r>
        </w:sdtContent>
      </w:sdt>
      <w:r>
        <w:rPr>
          <w:lang w:val="en-US"/>
        </w:rPr>
        <w:t xml:space="preserve"> is an extension to Boogie that uses a dialect of BoogiePL developed by Microsoft Research and MSRC lab at KU for reasoning about concurrent programs. It allows a sequence of refinement proofs for SC programs in a layered structure utilizing Lipton’s reduction, abstraction techniques and OG reasoning.  Our aim is to extend CIVL and Boogie tool set for our purposes.</w:t>
      </w:r>
    </w:p>
    <w:p w14:paraId="4BCE9816" w14:textId="77777777" w:rsidR="008A5537" w:rsidRDefault="008A5537" w:rsidP="008A5537">
      <w:pPr>
        <w:pStyle w:val="ITEABodyText"/>
        <w:rPr>
          <w:lang w:val="en-US"/>
        </w:rPr>
      </w:pPr>
      <w:r>
        <w:rPr>
          <w:lang w:val="en-US"/>
        </w:rPr>
        <w:t>Proposed method for refinement proofs on relaxed memory models contains the following steps:</w:t>
      </w:r>
    </w:p>
    <w:p w14:paraId="4FAD6F10" w14:textId="77777777" w:rsidR="008A5537" w:rsidRDefault="008A5537" w:rsidP="007A07E8">
      <w:pPr>
        <w:pStyle w:val="ITEABodyText"/>
        <w:numPr>
          <w:ilvl w:val="0"/>
          <w:numId w:val="24"/>
        </w:numPr>
        <w:rPr>
          <w:lang w:val="en-US"/>
        </w:rPr>
      </w:pPr>
      <w:r>
        <w:rPr>
          <w:lang w:val="en-US"/>
        </w:rPr>
        <w:t xml:space="preserve">Input to the method is the finest grained concrete program </w:t>
      </w:r>
      <w:r>
        <w:rPr>
          <w:i/>
          <w:lang w:val="en-US"/>
        </w:rPr>
        <w:t>P</w:t>
      </w:r>
      <w:r>
        <w:rPr>
          <w:lang w:val="en-US"/>
        </w:rPr>
        <w:t xml:space="preserve"> written in CIVL-like language. The language we use both extends and restricts the original CIVL language. Atomic actions of the program and the global variables must obey the restrictions provided in Section 5.3.1. CIVL language is extended to allow TSO memory model specific constructs like barriers.</w:t>
      </w:r>
    </w:p>
    <w:p w14:paraId="4B8AA84E" w14:textId="77777777" w:rsidR="008A5537" w:rsidRDefault="008A5537" w:rsidP="007A07E8">
      <w:pPr>
        <w:pStyle w:val="ITEABodyText"/>
        <w:numPr>
          <w:ilvl w:val="0"/>
          <w:numId w:val="24"/>
        </w:numPr>
        <w:rPr>
          <w:lang w:val="en-US"/>
        </w:rPr>
      </w:pPr>
      <w:r>
        <w:rPr>
          <w:lang w:val="en-US"/>
        </w:rPr>
        <w:t xml:space="preserve">Apply program transformation on </w:t>
      </w:r>
      <w:r>
        <w:rPr>
          <w:i/>
          <w:lang w:val="en-US"/>
        </w:rPr>
        <w:t>P</w:t>
      </w:r>
      <w:r>
        <w:rPr>
          <w:lang w:val="en-US"/>
        </w:rPr>
        <w:t xml:space="preserve"> to obtain equivalent SC program </w:t>
      </w:r>
      <w:r>
        <w:rPr>
          <w:i/>
          <w:lang w:val="en-US"/>
        </w:rPr>
        <w:t>P`</w:t>
      </w:r>
      <w:r>
        <w:rPr>
          <w:lang w:val="en-US"/>
        </w:rPr>
        <w:t xml:space="preserve">. Program transformation involves explicit modelling of thread buffers and global shared memory. In addition, the lowest level atomic actions in </w:t>
      </w:r>
      <w:r>
        <w:rPr>
          <w:i/>
          <w:lang w:val="en-US"/>
        </w:rPr>
        <w:t>P</w:t>
      </w:r>
      <w:r>
        <w:rPr>
          <w:lang w:val="en-US"/>
        </w:rPr>
        <w:t xml:space="preserve"> are replaced with TSO counterparts in </w:t>
      </w:r>
      <w:r>
        <w:rPr>
          <w:i/>
          <w:lang w:val="en-US"/>
        </w:rPr>
        <w:t>P`</w:t>
      </w:r>
      <w:r>
        <w:rPr>
          <w:lang w:val="en-US"/>
        </w:rPr>
        <w:t xml:space="preserve"> and nondeterministic drains are introduced. The transformed program is totally in the language of CIVL.</w:t>
      </w:r>
    </w:p>
    <w:p w14:paraId="21679CF8" w14:textId="77777777" w:rsidR="008A5537" w:rsidRDefault="008A5537" w:rsidP="007A07E8">
      <w:pPr>
        <w:pStyle w:val="ITEABodyText"/>
        <w:numPr>
          <w:ilvl w:val="0"/>
          <w:numId w:val="24"/>
        </w:numPr>
        <w:rPr>
          <w:lang w:val="en-US"/>
        </w:rPr>
      </w:pPr>
      <w:r>
        <w:rPr>
          <w:lang w:val="en-US"/>
        </w:rPr>
        <w:t xml:space="preserve">Use CIVL to perform refinement proofs on </w:t>
      </w:r>
      <w:r>
        <w:rPr>
          <w:i/>
          <w:lang w:val="en-US"/>
        </w:rPr>
        <w:t>P`</w:t>
      </w:r>
      <w:r>
        <w:rPr>
          <w:lang w:val="en-US"/>
        </w:rPr>
        <w:t>. Using the layered proof structure of CIVL, obtain abstract programs by performing refinement proofs until reaching the desired abstract specifications. In addition to existing OG, reduction/abstraction proof techniques, we develop and apply new proof rules special to TSO related actions for simplifying proofs.</w:t>
      </w:r>
    </w:p>
    <w:p w14:paraId="1EFD8766" w14:textId="77777777" w:rsidR="008A5537" w:rsidRPr="00F85549" w:rsidRDefault="008A5537" w:rsidP="007A07E8">
      <w:pPr>
        <w:pStyle w:val="ITEABodyText"/>
        <w:numPr>
          <w:ilvl w:val="0"/>
          <w:numId w:val="24"/>
        </w:numPr>
        <w:rPr>
          <w:lang w:val="en-US"/>
        </w:rPr>
      </w:pPr>
      <w:r>
        <w:rPr>
          <w:lang w:val="en-US"/>
        </w:rPr>
        <w:t xml:space="preserve">(Optional) Use adapted version of BoogieASM on </w:t>
      </w:r>
      <w:r>
        <w:rPr>
          <w:i/>
          <w:lang w:val="en-US"/>
        </w:rPr>
        <w:t>P</w:t>
      </w:r>
      <w:r>
        <w:rPr>
          <w:lang w:val="en-US"/>
        </w:rPr>
        <w:t xml:space="preserve"> to obtain executable assembly program for the desired platform. Since BoogieASM is in an experimental stage now and its development directions are </w:t>
      </w:r>
      <w:r>
        <w:rPr>
          <w:lang w:val="en-US"/>
        </w:rPr>
        <w:lastRenderedPageBreak/>
        <w:t>uncertain, we may skip employing BoogieASM and prefer to develop our own translation tool for this purpose in the future stages of the project.</w:t>
      </w:r>
    </w:p>
    <w:p w14:paraId="7F401B75" w14:textId="77777777" w:rsidR="008A5537" w:rsidRDefault="008A5537" w:rsidP="008A5537">
      <w:pPr>
        <w:pStyle w:val="ITEAHeading3"/>
      </w:pPr>
      <w:bookmarkStart w:id="64" w:name="_Toc469767680"/>
      <w:bookmarkStart w:id="65" w:name="_Toc398225076"/>
      <w:r>
        <w:t>Tool status and needed extensions</w:t>
      </w:r>
      <w:bookmarkEnd w:id="64"/>
      <w:bookmarkEnd w:id="65"/>
    </w:p>
    <w:p w14:paraId="596A5BAD" w14:textId="77777777" w:rsidR="008A5537" w:rsidRPr="00F85549" w:rsidRDefault="008A5537" w:rsidP="008A5537">
      <w:pPr>
        <w:pStyle w:val="ITEABodyText"/>
      </w:pPr>
      <w:r>
        <w:t>CIVL is a tool that can be used for verifying SC concurrent programs. Currently, it does not have any support or proof techniques for the relaxed memory models. Our aim is to extend CIVL/ Boogie toolset so that it becomes convenient for TSO programs and semantics.</w:t>
      </w:r>
    </w:p>
    <w:p w14:paraId="604BE592" w14:textId="77777777" w:rsidR="008A5537" w:rsidRDefault="008A5537" w:rsidP="008A5537">
      <w:pPr>
        <w:pStyle w:val="ITEAHeading4"/>
      </w:pPr>
      <w:bookmarkStart w:id="66" w:name="_Toc469767681"/>
      <w:bookmarkStart w:id="67" w:name="_Toc398225077"/>
      <w:r>
        <w:t>CIVL \ Concurrent Boogie</w:t>
      </w:r>
      <w:bookmarkEnd w:id="66"/>
      <w:bookmarkEnd w:id="67"/>
      <w:r>
        <w:tab/>
      </w:r>
    </w:p>
    <w:p w14:paraId="5AB2F731" w14:textId="77777777" w:rsidR="008A5537" w:rsidRDefault="008A5537" w:rsidP="008A5537">
      <w:pPr>
        <w:pStyle w:val="ITEABodyText"/>
      </w:pPr>
      <w:r>
        <w:t>There are two crucial extensions needed on CIVL to make it suitable for our method:</w:t>
      </w:r>
    </w:p>
    <w:p w14:paraId="1EC1F4E2" w14:textId="77777777" w:rsidR="008A5537" w:rsidRDefault="008A5537" w:rsidP="007A07E8">
      <w:pPr>
        <w:pStyle w:val="ITEABodyText"/>
        <w:numPr>
          <w:ilvl w:val="0"/>
          <w:numId w:val="25"/>
        </w:numPr>
      </w:pPr>
      <w:r>
        <w:t xml:space="preserve">A translator / compiler that will take the relaxed program </w:t>
      </w:r>
      <w:r>
        <w:rPr>
          <w:i/>
        </w:rPr>
        <w:t>P</w:t>
      </w:r>
      <w:r>
        <w:t xml:space="preserve"> written in the extended CIVL language described previously and that will produce the SC program </w:t>
      </w:r>
      <w:r>
        <w:rPr>
          <w:i/>
        </w:rPr>
        <w:t>P`</w:t>
      </w:r>
      <w:r>
        <w:t xml:space="preserve"> in CIVL language.</w:t>
      </w:r>
    </w:p>
    <w:p w14:paraId="11DC5307" w14:textId="77777777" w:rsidR="008A5537" w:rsidRPr="00F85549" w:rsidRDefault="008A5537" w:rsidP="007A07E8">
      <w:pPr>
        <w:pStyle w:val="ITEABodyText"/>
        <w:numPr>
          <w:ilvl w:val="0"/>
          <w:numId w:val="25"/>
        </w:numPr>
      </w:pPr>
      <w:r>
        <w:t xml:space="preserve">Modifications in the CIVL source code to adopt our TSO specific proof rules. Our TSO proof rules include generalizations of existing mover analysis and reduction rules as well as specific rules tailored for certain TSO actions that may occur in the transformed program </w:t>
      </w:r>
      <w:r>
        <w:rPr>
          <w:i/>
        </w:rPr>
        <w:t>P`</w:t>
      </w:r>
      <w:r>
        <w:t>.</w:t>
      </w:r>
    </w:p>
    <w:p w14:paraId="4C69ED9D" w14:textId="77777777" w:rsidR="008A5537" w:rsidRDefault="008A5537" w:rsidP="008A5537">
      <w:pPr>
        <w:pStyle w:val="ITEAHeading4"/>
      </w:pPr>
      <w:bookmarkStart w:id="68" w:name="_Toc469767682"/>
      <w:bookmarkStart w:id="69" w:name="_Toc398225078"/>
      <w:r>
        <w:t>BoogieASM</w:t>
      </w:r>
      <w:bookmarkEnd w:id="68"/>
      <w:bookmarkEnd w:id="69"/>
    </w:p>
    <w:p w14:paraId="16CD711C" w14:textId="77777777" w:rsidR="008A5537" w:rsidRPr="0006450D" w:rsidRDefault="008A5537" w:rsidP="008A5537">
      <w:pPr>
        <w:pStyle w:val="ITEABodyText"/>
      </w:pPr>
      <w:r>
        <w:t>BoogieASM is a tool that aims to generate executables from Boogie programs that are correct by construction. However, the tool is still in its infancy. It is not certain that what kind of semantic models will be supported by the tool and how it will be integrated to Boogie – CIVL. Depending on the future developments on BoogieASM, we aim to extend it for generating executables from Boogie programs that are verified through our methodology.</w:t>
      </w:r>
    </w:p>
    <w:p w14:paraId="6279072D" w14:textId="77777777" w:rsidR="008A5537" w:rsidRDefault="008A5537" w:rsidP="008A5537">
      <w:pPr>
        <w:pStyle w:val="ITEAHeading2"/>
      </w:pPr>
      <w:bookmarkStart w:id="70" w:name="_Toc469767683"/>
      <w:bookmarkStart w:id="71" w:name="_Toc398225079"/>
      <w:r>
        <w:t>Interface definitions</w:t>
      </w:r>
      <w:bookmarkEnd w:id="70"/>
      <w:bookmarkEnd w:id="71"/>
    </w:p>
    <w:p w14:paraId="5815388A" w14:textId="77777777" w:rsidR="008A5537" w:rsidRDefault="008A5537" w:rsidP="008A5537">
      <w:pPr>
        <w:pStyle w:val="ITEAHeading3"/>
      </w:pPr>
      <w:bookmarkStart w:id="72" w:name="_Toc469767684"/>
      <w:bookmarkStart w:id="73" w:name="_Toc398225080"/>
      <w:r>
        <w:t>Common Interface for CIVL and BoogieASM</w:t>
      </w:r>
      <w:bookmarkEnd w:id="72"/>
      <w:bookmarkEnd w:id="73"/>
    </w:p>
    <w:p w14:paraId="4126F540" w14:textId="77777777" w:rsidR="008A5537" w:rsidRDefault="008A5537" w:rsidP="00000EDB">
      <w:pPr>
        <w:pStyle w:val="ITEABodyText"/>
      </w:pPr>
      <w:r>
        <w:t xml:space="preserve">In addition to the language allowed by CIVL, we require following restrictions / extensions on the input program </w:t>
      </w:r>
      <w:r>
        <w:rPr>
          <w:i/>
        </w:rPr>
        <w:t>P</w:t>
      </w:r>
      <w:r>
        <w:t xml:space="preserve">: </w:t>
      </w:r>
    </w:p>
    <w:p w14:paraId="0E9B8067" w14:textId="77777777" w:rsidR="008A5537" w:rsidRDefault="008A5537" w:rsidP="007A07E8">
      <w:pPr>
        <w:pStyle w:val="ITEABodyText"/>
        <w:numPr>
          <w:ilvl w:val="0"/>
          <w:numId w:val="26"/>
        </w:numPr>
      </w:pPr>
      <w:r>
        <w:t>For simplicity, we initially allow two kind of base types for global variables inside the programs: integers and pointers. Integers are already a base type in CIVL. If pointers will be used by the programs, there should be a definition of Boogie type with the exact name x</w:t>
      </w:r>
      <w:r>
        <w:rPr>
          <w:i/>
        </w:rPr>
        <w:t>Pointer:int</w:t>
      </w:r>
      <w:r>
        <w:t xml:space="preserve"> in the program where </w:t>
      </w:r>
      <w:r>
        <w:rPr>
          <w:i/>
        </w:rPr>
        <w:t>x</w:t>
      </w:r>
      <w:r>
        <w:t xml:space="preserve"> is another type name. If the defined type is just </w:t>
      </w:r>
      <w:r>
        <w:rPr>
          <w:i/>
        </w:rPr>
        <w:t>Pointer</w:t>
      </w:r>
      <w:r>
        <w:t xml:space="preserve">, we interpret it as the integer pointer. We allow composite types (records in Boogie) that may consist of base types or other composite types.    </w:t>
      </w:r>
    </w:p>
    <w:p w14:paraId="7E99B553" w14:textId="77777777" w:rsidR="008A5537" w:rsidRDefault="008A5537" w:rsidP="007A07E8">
      <w:pPr>
        <w:pStyle w:val="ITEABodyText"/>
        <w:numPr>
          <w:ilvl w:val="0"/>
          <w:numId w:val="26"/>
        </w:numPr>
      </w:pPr>
      <w:r>
        <w:t xml:space="preserve">Thread identifiers are assumed to be of type </w:t>
      </w:r>
      <w:r>
        <w:rPr>
          <w:i/>
        </w:rPr>
        <w:t>Tid</w:t>
      </w:r>
      <w:r>
        <w:t>. They must be passed as linear arguments to the methods.</w:t>
      </w:r>
    </w:p>
    <w:p w14:paraId="69CE1D0C" w14:textId="77777777" w:rsidR="008A5537" w:rsidRDefault="008A5537" w:rsidP="007A07E8">
      <w:pPr>
        <w:pStyle w:val="ITEABodyText"/>
        <w:numPr>
          <w:ilvl w:val="0"/>
          <w:numId w:val="26"/>
        </w:numPr>
      </w:pPr>
      <w:r>
        <w:t xml:space="preserve">Dynamic memory allocation from explicitly defined memory is possible. To achieve this, the lowest level method </w:t>
      </w:r>
      <w:r>
        <w:rPr>
          <w:i/>
        </w:rPr>
        <w:t>alloc</w:t>
      </w:r>
      <w:r>
        <w:t xml:space="preserve"> must be defined inside the program and it should be called for dynamic memory allocation inside the other methods.</w:t>
      </w:r>
    </w:p>
    <w:p w14:paraId="233D44C8" w14:textId="77777777" w:rsidR="008A5537" w:rsidRDefault="008A5537" w:rsidP="007A07E8">
      <w:pPr>
        <w:pStyle w:val="ITEABodyText"/>
        <w:numPr>
          <w:ilvl w:val="0"/>
          <w:numId w:val="26"/>
        </w:numPr>
      </w:pPr>
      <w:r>
        <w:t xml:space="preserve">For reading from a global variable </w:t>
      </w:r>
      <w:r>
        <w:rPr>
          <w:i/>
        </w:rPr>
        <w:t>x</w:t>
      </w:r>
      <w:r>
        <w:t xml:space="preserve">, the programmer must define and use the lowest level atomic procedure </w:t>
      </w:r>
      <w:r>
        <w:rPr>
          <w:i/>
        </w:rPr>
        <w:t>readX()</w:t>
      </w:r>
      <w:r>
        <w:t>.</w:t>
      </w:r>
    </w:p>
    <w:p w14:paraId="008463F5" w14:textId="77777777" w:rsidR="008A5537" w:rsidRDefault="008A5537" w:rsidP="007A07E8">
      <w:pPr>
        <w:pStyle w:val="ITEABodyText"/>
        <w:numPr>
          <w:ilvl w:val="0"/>
          <w:numId w:val="26"/>
        </w:numPr>
      </w:pPr>
      <w:r>
        <w:t xml:space="preserve">For writing to a global variable </w:t>
      </w:r>
      <w:r>
        <w:rPr>
          <w:i/>
        </w:rPr>
        <w:t>x</w:t>
      </w:r>
      <w:r>
        <w:t xml:space="preserve">, the programmer must define and use the lowest level atomic procedure </w:t>
      </w:r>
      <w:r>
        <w:rPr>
          <w:i/>
        </w:rPr>
        <w:t>writeX()</w:t>
      </w:r>
      <w:r>
        <w:t xml:space="preserve">. </w:t>
      </w:r>
    </w:p>
    <w:p w14:paraId="71FB636D" w14:textId="77777777" w:rsidR="008A5537" w:rsidRDefault="008A5537" w:rsidP="007A07E8">
      <w:pPr>
        <w:pStyle w:val="ITEABodyText"/>
        <w:numPr>
          <w:ilvl w:val="0"/>
          <w:numId w:val="26"/>
        </w:numPr>
      </w:pPr>
      <w:r>
        <w:t xml:space="preserve">For performing a compare-and-swap action, programmer must define and use the lowest level atomic procedure </w:t>
      </w:r>
      <w:r>
        <w:rPr>
          <w:i/>
        </w:rPr>
        <w:t>CAS()</w:t>
      </w:r>
      <w:r>
        <w:t>.</w:t>
      </w:r>
    </w:p>
    <w:p w14:paraId="542239FE" w14:textId="77777777" w:rsidR="008A5537" w:rsidRPr="00563C8E" w:rsidRDefault="008A5537" w:rsidP="007A07E8">
      <w:pPr>
        <w:pStyle w:val="ITEABodyText"/>
        <w:numPr>
          <w:ilvl w:val="0"/>
          <w:numId w:val="26"/>
        </w:numPr>
      </w:pPr>
      <w:r>
        <w:t xml:space="preserve">The lowest level method name </w:t>
      </w:r>
      <w:r>
        <w:rPr>
          <w:i/>
        </w:rPr>
        <w:t>barrier()</w:t>
      </w:r>
      <w:r>
        <w:t xml:space="preserve"> must be defined and used inside the methods for putting TSO fences inside the methods.</w:t>
      </w:r>
    </w:p>
    <w:p w14:paraId="6B4F7862" w14:textId="77777777" w:rsidR="00B028F0" w:rsidRPr="00482002" w:rsidRDefault="00B028F0" w:rsidP="00B028F0">
      <w:pPr>
        <w:pStyle w:val="ITEABodyText"/>
      </w:pPr>
    </w:p>
    <w:p w14:paraId="62CA2902" w14:textId="77777777" w:rsidR="00B028F0" w:rsidRPr="00B028F0" w:rsidRDefault="00B028F0" w:rsidP="00B028F0">
      <w:pPr>
        <w:pStyle w:val="ITEABodyText"/>
      </w:pPr>
    </w:p>
    <w:p w14:paraId="577ECF49" w14:textId="77777777" w:rsidR="003732D1" w:rsidRPr="00CD11A8" w:rsidRDefault="003732D1" w:rsidP="003732D1">
      <w:pPr>
        <w:pStyle w:val="ITEABodyText"/>
        <w:rPr>
          <w:lang w:val="en-US" w:eastAsia="en-US"/>
        </w:rPr>
      </w:pPr>
    </w:p>
    <w:bookmarkStart w:id="74" w:name="_Toc398225081" w:displacedByCustomXml="next"/>
    <w:sdt>
      <w:sdtPr>
        <w:rPr>
          <w:rFonts w:eastAsia="Times New Roman" w:cs="Times New Roman"/>
          <w:b w:val="0"/>
          <w:bCs w:val="0"/>
          <w:color w:val="000000" w:themeColor="text1"/>
          <w:spacing w:val="0"/>
          <w:sz w:val="14"/>
          <w:szCs w:val="18"/>
          <w:lang w:eastAsia="en-US"/>
        </w:rPr>
        <w:id w:val="-1571648265"/>
        <w:docPartObj>
          <w:docPartGallery w:val="Bibliographies"/>
          <w:docPartUnique/>
        </w:docPartObj>
      </w:sdtPr>
      <w:sdtEndPr>
        <w:rPr>
          <w:spacing w:val="4"/>
          <w:sz w:val="20"/>
          <w:szCs w:val="24"/>
          <w:lang w:eastAsia="nl-NL"/>
        </w:rPr>
      </w:sdtEndPr>
      <w:sdtContent>
        <w:p w14:paraId="36E316AF" w14:textId="77777777" w:rsidR="0027784B" w:rsidRPr="007A05E4" w:rsidRDefault="0027784B">
          <w:pPr>
            <w:pStyle w:val="Heading1"/>
            <w:rPr>
              <w:sz w:val="36"/>
              <w:szCs w:val="36"/>
            </w:rPr>
          </w:pPr>
          <w:r w:rsidRPr="007A05E4">
            <w:rPr>
              <w:sz w:val="36"/>
              <w:szCs w:val="36"/>
            </w:rPr>
            <w:t>References</w:t>
          </w:r>
          <w:bookmarkEnd w:id="74"/>
        </w:p>
        <w:sdt>
          <w:sdtPr>
            <w:rPr>
              <w:rFonts w:eastAsiaTheme="minorHAnsi" w:cstheme="minorBidi"/>
              <w:b/>
              <w:color w:val="00A651" w:themeColor="accent1"/>
              <w:spacing w:val="0"/>
              <w:sz w:val="28"/>
              <w:szCs w:val="28"/>
              <w:lang w:eastAsia="en-US"/>
            </w:rPr>
            <w:id w:val="-573587230"/>
            <w:bibliography/>
          </w:sdtPr>
          <w:sdtEndPr>
            <w:rPr>
              <w:rFonts w:eastAsia="Times New Roman" w:cs="Times New Roman"/>
              <w:b w:val="0"/>
              <w:color w:val="000000" w:themeColor="text1"/>
              <w:spacing w:val="4"/>
              <w:sz w:val="20"/>
              <w:szCs w:val="24"/>
              <w:lang w:eastAsia="nl-NL"/>
            </w:rPr>
          </w:sdtEndPr>
          <w:sdtContent>
            <w:p w14:paraId="6DEAAFA3" w14:textId="77777777" w:rsidR="00271835" w:rsidRDefault="00E6652C" w:rsidP="00271835">
              <w:pPr>
                <w:pStyle w:val="Bibliography"/>
                <w:ind w:left="720" w:hanging="720"/>
                <w:rPr>
                  <w:noProof/>
                  <w:sz w:val="24"/>
                </w:rPr>
              </w:pPr>
              <w:r>
                <w:fldChar w:fldCharType="begin"/>
              </w:r>
              <w:r w:rsidR="0027784B">
                <w:instrText xml:space="preserve"> BIBLIOGRAPHY </w:instrText>
              </w:r>
              <w:r>
                <w:fldChar w:fldCharType="separate"/>
              </w:r>
              <w:r w:rsidR="00271835">
                <w:rPr>
                  <w:noProof/>
                </w:rPr>
                <w:t xml:space="preserve">ASSUME Project Team. (2015). </w:t>
              </w:r>
              <w:r w:rsidR="00271835">
                <w:rPr>
                  <w:i/>
                  <w:iCs/>
                  <w:noProof/>
                </w:rPr>
                <w:t>Full Project Proposal Annex.</w:t>
              </w:r>
              <w:r w:rsidR="00271835">
                <w:rPr>
                  <w:noProof/>
                </w:rPr>
                <w:t xml:space="preserve"> ASSUME.</w:t>
              </w:r>
            </w:p>
            <w:p w14:paraId="5F60EDE9" w14:textId="77777777" w:rsidR="00271835" w:rsidRDefault="00271835" w:rsidP="00271835">
              <w:pPr>
                <w:pStyle w:val="Bibliography"/>
                <w:ind w:left="720" w:hanging="720"/>
                <w:rPr>
                  <w:noProof/>
                </w:rPr>
              </w:pPr>
              <w:r>
                <w:rPr>
                  <w:noProof/>
                </w:rPr>
                <w:t xml:space="preserve">CHAFEA, E. C. (2012, January 30). </w:t>
              </w:r>
              <w:r>
                <w:rPr>
                  <w:i/>
                  <w:iCs/>
                  <w:noProof/>
                </w:rPr>
                <w:t>Managing projects, Elaborating a Dissemination Plan</w:t>
              </w:r>
              <w:r>
                <w:rPr>
                  <w:noProof/>
                </w:rPr>
                <w:t>. Retrieved from http://ec.europa.eu/chafea/management/Fact_sheet_2010_06.html</w:t>
              </w:r>
            </w:p>
            <w:p w14:paraId="2493DA7D" w14:textId="77777777" w:rsidR="00271835" w:rsidRDefault="00271835" w:rsidP="00271835">
              <w:pPr>
                <w:pStyle w:val="Bibliography"/>
                <w:ind w:left="720" w:hanging="720"/>
                <w:rPr>
                  <w:noProof/>
                </w:rPr>
              </w:pPr>
              <w:r>
                <w:rPr>
                  <w:noProof/>
                </w:rPr>
                <w:t xml:space="preserve">Gries, S. O. (1976). An axiomatic proof technique for parallel programs. </w:t>
              </w:r>
              <w:r>
                <w:rPr>
                  <w:i/>
                  <w:iCs/>
                  <w:noProof/>
                </w:rPr>
                <w:t>Acta Informatica, 6(4)</w:t>
              </w:r>
              <w:r>
                <w:rPr>
                  <w:noProof/>
                </w:rPr>
                <w:t>, 319-340.</w:t>
              </w:r>
            </w:p>
            <w:p w14:paraId="5731B4E4" w14:textId="77777777" w:rsidR="00271835" w:rsidRDefault="00271835" w:rsidP="00271835">
              <w:pPr>
                <w:pStyle w:val="Bibliography"/>
                <w:ind w:left="720" w:hanging="720"/>
                <w:rPr>
                  <w:noProof/>
                </w:rPr>
              </w:pPr>
              <w:r>
                <w:rPr>
                  <w:noProof/>
                </w:rPr>
                <w:t xml:space="preserve">Lamport, L. (1979). How to make a multiprocessor computer that correctly executes multiprocess programs. </w:t>
              </w:r>
              <w:r>
                <w:rPr>
                  <w:i/>
                  <w:iCs/>
                  <w:noProof/>
                </w:rPr>
                <w:t>Computers, IEEE Transactions on, 100(9)</w:t>
              </w:r>
              <w:r>
                <w:rPr>
                  <w:noProof/>
                </w:rPr>
                <w:t>, 690-691.</w:t>
              </w:r>
            </w:p>
            <w:p w14:paraId="28F5739C" w14:textId="77777777" w:rsidR="00271835" w:rsidRDefault="00271835" w:rsidP="00271835">
              <w:pPr>
                <w:pStyle w:val="Bibliography"/>
                <w:ind w:left="720" w:hanging="720"/>
                <w:rPr>
                  <w:noProof/>
                </w:rPr>
              </w:pPr>
              <w:r>
                <w:rPr>
                  <w:noProof/>
                </w:rPr>
                <w:t xml:space="preserve">Lev, D. C. (2005). Dynamic circular work-stealing deque. </w:t>
              </w:r>
              <w:r>
                <w:rPr>
                  <w:i/>
                  <w:iCs/>
                  <w:noProof/>
                </w:rPr>
                <w:t>In Proceedings of the seventeenth annual ACM Symposium on Parallelism in algorithms and architectures</w:t>
              </w:r>
              <w:r>
                <w:rPr>
                  <w:noProof/>
                </w:rPr>
                <w:t>, 21-28.</w:t>
              </w:r>
            </w:p>
            <w:p w14:paraId="6B60E6E9" w14:textId="77777777" w:rsidR="00271835" w:rsidRDefault="00271835" w:rsidP="00271835">
              <w:pPr>
                <w:pStyle w:val="Bibliography"/>
                <w:ind w:left="720" w:hanging="720"/>
                <w:rPr>
                  <w:noProof/>
                </w:rPr>
              </w:pPr>
              <w:r>
                <w:rPr>
                  <w:noProof/>
                </w:rPr>
                <w:t xml:space="preserve">Lipton, R. J. (1975). Reduction: A method of proving properties of parallel programs. </w:t>
              </w:r>
              <w:r>
                <w:rPr>
                  <w:i/>
                  <w:iCs/>
                  <w:noProof/>
                </w:rPr>
                <w:t>Communications of the ACM, 18(12)</w:t>
              </w:r>
              <w:r>
                <w:rPr>
                  <w:noProof/>
                </w:rPr>
                <w:t>, 717-721.</w:t>
              </w:r>
            </w:p>
            <w:p w14:paraId="7F875E2B" w14:textId="77777777" w:rsidR="00271835" w:rsidRDefault="00271835" w:rsidP="00271835">
              <w:pPr>
                <w:pStyle w:val="Bibliography"/>
                <w:ind w:left="720" w:hanging="720"/>
                <w:rPr>
                  <w:noProof/>
                </w:rPr>
              </w:pPr>
              <w:r>
                <w:rPr>
                  <w:noProof/>
                </w:rPr>
                <w:t xml:space="preserve">Mike Barnett, e. a. (2005). A modular reusable verifier for object-oriented programs. </w:t>
              </w:r>
              <w:r>
                <w:rPr>
                  <w:i/>
                  <w:iCs/>
                  <w:noProof/>
                </w:rPr>
                <w:t>International Symposium on Formal Methods for Components and Objects</w:t>
              </w:r>
              <w:r>
                <w:rPr>
                  <w:noProof/>
                </w:rPr>
                <w:t>, 364-387.</w:t>
              </w:r>
            </w:p>
            <w:p w14:paraId="07349C9F" w14:textId="77777777" w:rsidR="00271835" w:rsidRDefault="00271835" w:rsidP="00271835">
              <w:pPr>
                <w:pStyle w:val="Bibliography"/>
                <w:ind w:left="720" w:hanging="720"/>
                <w:rPr>
                  <w:noProof/>
                  <w:lang w:val="uz-Cyrl-UZ"/>
                </w:rPr>
              </w:pPr>
              <w:r>
                <w:rPr>
                  <w:noProof/>
                  <w:lang w:val="uz-Cyrl-UZ"/>
                </w:rPr>
                <w:t xml:space="preserve">Mutluergil, S. O., &amp; Tasiran, S. (2016). A Mechanized Refinement Proof of the Chase-Lev Deque Using a Proof System. </w:t>
              </w:r>
              <w:r>
                <w:rPr>
                  <w:i/>
                  <w:iCs/>
                  <w:noProof/>
                  <w:lang w:val="uz-Cyrl-UZ"/>
                </w:rPr>
                <w:t>International Conference on Networked Systems</w:t>
              </w:r>
              <w:r>
                <w:rPr>
                  <w:noProof/>
                  <w:lang w:val="uz-Cyrl-UZ"/>
                </w:rPr>
                <w:t xml:space="preserve"> (pp. 280-294). Springer International Publishing.</w:t>
              </w:r>
            </w:p>
            <w:p w14:paraId="4461D891" w14:textId="77777777" w:rsidR="00E01535" w:rsidRDefault="00E01535" w:rsidP="00E01535">
              <w:pPr>
                <w:pStyle w:val="Bibliography"/>
                <w:ind w:left="720" w:hanging="720"/>
                <w:rPr>
                  <w:noProof/>
                  <w:lang w:val="uz-Cyrl-UZ"/>
                </w:rPr>
              </w:pPr>
              <w:r>
                <w:rPr>
                  <w:noProof/>
                  <w:lang w:val="uz-Cyrl-UZ"/>
                </w:rPr>
                <w:t xml:space="preserve">Qadeer, S., Tasiran, S., &amp; Hawblitzel, C. (2015). Automated and modular refinement reasoning for concurrent programs. </w:t>
              </w:r>
              <w:r>
                <w:rPr>
                  <w:i/>
                  <w:iCs/>
                  <w:noProof/>
                  <w:lang w:val="uz-Cyrl-UZ"/>
                </w:rPr>
                <w:t>International Conference on Computer Aided Verification</w:t>
              </w:r>
              <w:r>
                <w:rPr>
                  <w:noProof/>
                  <w:lang w:val="uz-Cyrl-UZ"/>
                </w:rPr>
                <w:t xml:space="preserve"> (pp. 449-465). Springer International Publishing.</w:t>
              </w:r>
            </w:p>
            <w:p w14:paraId="605D8E6B" w14:textId="77777777" w:rsidR="00E01535" w:rsidRDefault="00E01535" w:rsidP="00E01535">
              <w:pPr>
                <w:pStyle w:val="Bibliography"/>
                <w:ind w:left="720" w:hanging="720"/>
                <w:rPr>
                  <w:noProof/>
                  <w:lang w:val="uz-Cyrl-UZ"/>
                </w:rPr>
              </w:pPr>
              <w:r w:rsidRPr="00E01535">
                <w:rPr>
                  <w:noProof/>
                  <w:lang w:val="uz-Cyrl-UZ"/>
                </w:rPr>
                <w:t xml:space="preserve">T. Carle. Efficient compilation of embedded control specifications with complex functional and non-functional properties. PhD thesis. 2014. https://tel.archives-ouvertes.fr/tel-01088786/document </w:t>
              </w:r>
            </w:p>
            <w:p w14:paraId="1C906C47" w14:textId="1C80A3C4" w:rsidR="00E01535" w:rsidRPr="00E01535" w:rsidRDefault="00E01535" w:rsidP="00E01535">
              <w:pPr>
                <w:pStyle w:val="Bibliography"/>
                <w:ind w:left="720" w:hanging="720"/>
                <w:rPr>
                  <w:noProof/>
                  <w:lang w:val="uz-Cyrl-UZ"/>
                </w:rPr>
              </w:pPr>
              <w:r w:rsidRPr="00E01535">
                <w:rPr>
                  <w:noProof/>
                  <w:lang w:val="uz-Cyrl-UZ"/>
                </w:rPr>
                <w:t xml:space="preserve">Koek, P. et. al. (2016, May 23-25) CSDFa: a model for exploiting the trade-off between data and pipeline parallelism. In: Proceedings of the 19th International Workshop on Software and Compilers for Embedded Systems </w:t>
              </w:r>
            </w:p>
            <w:p w14:paraId="4495712A" w14:textId="77777777" w:rsidR="00C97E5A" w:rsidRDefault="00C97E5A" w:rsidP="00C97E5A">
              <w:pPr>
                <w:pStyle w:val="Bibliography"/>
                <w:ind w:left="720" w:hanging="720"/>
                <w:rPr>
                  <w:noProof/>
                  <w:lang w:val="uz-Cyrl-UZ"/>
                </w:rPr>
              </w:pPr>
              <w:r>
                <w:t>Kurtin, P. et. al. (2016, May 23-25)  HAPI: An Event-Driven Simulator for Real-Time Multiprocessor Systems. In: Proceedings of the 19th International Workshop on Software and Compilers for Embedded Systems</w:t>
              </w:r>
              <w:r w:rsidRPr="00E01535">
                <w:rPr>
                  <w:noProof/>
                  <w:lang w:val="uz-Cyrl-UZ"/>
                </w:rPr>
                <w:t xml:space="preserve"> </w:t>
              </w:r>
            </w:p>
            <w:p w14:paraId="666E318C" w14:textId="77777777" w:rsidR="008D4F90" w:rsidRDefault="008D4F90" w:rsidP="008D4F90">
              <w:pPr>
                <w:pStyle w:val="Bibliography"/>
                <w:ind w:left="720" w:hanging="720"/>
                <w:rPr>
                  <w:noProof/>
                  <w:lang w:val="uz-Cyrl-UZ"/>
                </w:rPr>
              </w:pPr>
              <w:r>
                <w:t>Kurtin, P. et. al. (2018, June)  An abstraction-refinement theory for the analysis and design of concurrent real-time systems with shared resource. Draft Phd thesis University of Twente.</w:t>
              </w:r>
            </w:p>
            <w:p w14:paraId="189708C7" w14:textId="77777777" w:rsidR="00081C12" w:rsidRDefault="00081C12" w:rsidP="00081C12">
              <w:pPr>
                <w:pStyle w:val="Bibliography"/>
                <w:ind w:left="720" w:hanging="720"/>
                <w:rPr>
                  <w:noProof/>
                  <w:lang w:val="uz-Cyrl-UZ"/>
                </w:rPr>
              </w:pPr>
              <w:r>
                <w:t xml:space="preserve">Sridharan, V., Kaeli, D.  </w:t>
              </w:r>
              <w:r w:rsidRPr="00C97E5A">
                <w:t>Quantifying software vulnerability</w:t>
              </w:r>
              <w:r>
                <w:t>. Proceedings of the 2008 workshop on Radiation effects and fault tolerance in nanometer technologies, 2008.</w:t>
              </w:r>
              <w:r w:rsidRPr="00E01535">
                <w:rPr>
                  <w:noProof/>
                  <w:lang w:val="uz-Cyrl-UZ"/>
                </w:rPr>
                <w:t xml:space="preserve"> </w:t>
              </w:r>
            </w:p>
            <w:p w14:paraId="6B3CAA7D" w14:textId="77777777" w:rsidR="00CB6475" w:rsidRDefault="00CB6475" w:rsidP="00CB6475">
              <w:pPr>
                <w:pStyle w:val="Bibliography"/>
                <w:ind w:left="720" w:hanging="720"/>
                <w:rPr>
                  <w:noProof/>
                  <w:lang w:val="uz-Cyrl-UZ"/>
                </w:rPr>
              </w:pPr>
              <w:r>
                <w:t xml:space="preserve">Sridharan, V., Kaeli, D.  </w:t>
              </w:r>
              <w:r w:rsidRPr="00081C12">
                <w:t>Using hardware vulnerability factors to enhance AVF analysis</w:t>
              </w:r>
              <w:r>
                <w:t>. Proceedings of the 37th annual international symposium on Computer architecture (ISCA'10).</w:t>
              </w:r>
              <w:r w:rsidRPr="00E01535">
                <w:rPr>
                  <w:noProof/>
                  <w:lang w:val="uz-Cyrl-UZ"/>
                </w:rPr>
                <w:t xml:space="preserve"> </w:t>
              </w:r>
            </w:p>
            <w:p w14:paraId="5B9DB1EA" w14:textId="55508D66" w:rsidR="00CB6475" w:rsidRDefault="00CB6475" w:rsidP="00CB6475">
              <w:pPr>
                <w:pStyle w:val="Bibliography"/>
                <w:ind w:left="720" w:hanging="720"/>
                <w:rPr>
                  <w:noProof/>
                  <w:lang w:val="uz-Cyrl-UZ"/>
                </w:rPr>
              </w:pPr>
              <w:r w:rsidRPr="00CB6475">
                <w:t>Shafique, M</w:t>
              </w:r>
              <w:r>
                <w:t>.</w:t>
              </w:r>
              <w:r w:rsidRPr="00CB6475">
                <w:t xml:space="preserve"> and Rehman, S</w:t>
              </w:r>
              <w:r>
                <w:t>.</w:t>
              </w:r>
              <w:r w:rsidRPr="00CB6475">
                <w:t xml:space="preserve"> and Aceituno, P</w:t>
              </w:r>
              <w:r>
                <w:t>.</w:t>
              </w:r>
              <w:r w:rsidRPr="00CB6475">
                <w:t xml:space="preserve"> V</w:t>
              </w:r>
              <w:r>
                <w:t>.</w:t>
              </w:r>
              <w:r w:rsidRPr="00CB6475">
                <w:t xml:space="preserve"> and Henkel, J</w:t>
              </w:r>
              <w:r>
                <w:t xml:space="preserve">.  </w:t>
              </w:r>
              <w:r w:rsidRPr="00CB6475">
                <w:t>Exploiting Program-level Masking and Error Propagation for Constrained Reliability Optimization</w:t>
              </w:r>
              <w:r>
                <w:t xml:space="preserve">. </w:t>
              </w:r>
              <w:r w:rsidRPr="00C856E9">
                <w:rPr>
                  <w:lang w:val="nl-NL"/>
                </w:rPr>
                <w:t>Proceedings DAC 2010.</w:t>
              </w:r>
              <w:r w:rsidRPr="00E01535">
                <w:rPr>
                  <w:noProof/>
                  <w:lang w:val="uz-Cyrl-UZ"/>
                </w:rPr>
                <w:t xml:space="preserve"> </w:t>
              </w:r>
            </w:p>
            <w:p w14:paraId="5074B08E" w14:textId="77777777" w:rsidR="008D4F90" w:rsidRDefault="008D4F90" w:rsidP="008D4F90">
              <w:pPr>
                <w:pStyle w:val="Bibliography"/>
                <w:ind w:left="720" w:hanging="720"/>
                <w:rPr>
                  <w:noProof/>
                  <w:lang w:val="uz-Cyrl-UZ"/>
                </w:rPr>
              </w:pPr>
              <w:r>
                <w:t xml:space="preserve">Viktorio el Hakim and Marco Bekooij, Sampling Jitter mitigation in latency-critical state-estimation applications using particle filters, International symposium on control systems, 2017  </w:t>
              </w:r>
            </w:p>
            <w:p w14:paraId="27A627E8" w14:textId="77777777" w:rsidR="008D4F90" w:rsidRDefault="008D4F90" w:rsidP="008D4F90">
              <w:r>
                <w:t xml:space="preserve">Viktorio el Hakim and Marco Bekooij, Stability Verification of Self-Timed Control Systems using Model-Checking, </w:t>
              </w:r>
            </w:p>
            <w:p w14:paraId="2C55AD79" w14:textId="77777777" w:rsidR="008D4F90" w:rsidRPr="00F12D1F" w:rsidRDefault="008D4F90" w:rsidP="008D4F90">
              <w:pPr>
                <w:rPr>
                  <w:lang w:val="uz-Cyrl-UZ"/>
                </w:rPr>
              </w:pPr>
              <w:r>
                <w:tab/>
                <w:t>accepted for publication in Euromicro DSD 2018 conference</w:t>
              </w:r>
            </w:p>
            <w:p w14:paraId="3C1EAA3F" w14:textId="08243EDA" w:rsidR="005B3195" w:rsidRPr="005B3195" w:rsidRDefault="00245789" w:rsidP="00245789">
              <w:pPr>
                <w:pStyle w:val="Bibliography"/>
                <w:ind w:left="720" w:hanging="720"/>
              </w:pPr>
              <w:r w:rsidRPr="00C856E9">
                <w:rPr>
                  <w:lang w:val="nl-NL"/>
                </w:rPr>
                <w:t xml:space="preserve">Cohen, A., Duranton, M., Eisenbeis, C., Pagetti, C., Plateau, F., Pouzet, M. - n-Synchronous Kahn Networks. </w:t>
              </w:r>
              <w:r>
                <w:t>In  POPL 2006</w:t>
              </w:r>
            </w:p>
            <w:p w14:paraId="34AF4DD1" w14:textId="77777777" w:rsidR="0027784B" w:rsidRDefault="00E6652C" w:rsidP="00271835">
              <w:pPr>
                <w:pStyle w:val="ITEABodyText"/>
              </w:pPr>
              <w:r>
                <w:rPr>
                  <w:b/>
                  <w:bCs/>
                  <w:noProof/>
                </w:rPr>
                <w:fldChar w:fldCharType="end"/>
              </w:r>
            </w:p>
          </w:sdtContent>
        </w:sdt>
      </w:sdtContent>
    </w:sdt>
    <w:sectPr w:rsidR="0027784B" w:rsidSect="00BD6025">
      <w:headerReference w:type="default" r:id="rId27"/>
      <w:footerReference w:type="default" r:id="rId28"/>
      <w:headerReference w:type="first" r:id="rId29"/>
      <w:footerReference w:type="first" r:id="rId30"/>
      <w:pgSz w:w="13220" w:h="18700"/>
      <w:pgMar w:top="2371" w:right="1418" w:bottom="851" w:left="1418" w:header="567" w:footer="0"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28D3CA" w14:textId="77777777" w:rsidR="00B751CB" w:rsidRDefault="00B751CB" w:rsidP="00963638">
      <w:r>
        <w:separator/>
      </w:r>
    </w:p>
  </w:endnote>
  <w:endnote w:type="continuationSeparator" w:id="0">
    <w:p w14:paraId="2B63389F" w14:textId="77777777" w:rsidR="00B751CB" w:rsidRDefault="00B751CB" w:rsidP="00963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ource Sans Pro">
    <w:altName w:val="Corbel"/>
    <w:charset w:val="00"/>
    <w:family w:val="swiss"/>
    <w:pitch w:val="variable"/>
    <w:sig w:usb0="20000007" w:usb1="00000001" w:usb2="00000000" w:usb3="00000000" w:csb0="00000193"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ndale Mono">
    <w:panose1 w:val="020B05090000000000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63" w:type="dxa"/>
      <w:tblLook w:val="04A0" w:firstRow="1" w:lastRow="0" w:firstColumn="1" w:lastColumn="0" w:noHBand="0" w:noVBand="1"/>
    </w:tblPr>
    <w:tblGrid>
      <w:gridCol w:w="1809"/>
      <w:gridCol w:w="3686"/>
      <w:gridCol w:w="3968"/>
    </w:tblGrid>
    <w:tr w:rsidR="00B751CB" w:rsidRPr="007F744A" w14:paraId="6E9CA1B5" w14:textId="77777777" w:rsidTr="0028784F">
      <w:trPr>
        <w:trHeight w:val="340"/>
      </w:trPr>
      <w:tc>
        <w:tcPr>
          <w:tcW w:w="1809" w:type="dxa"/>
        </w:tcPr>
        <w:p w14:paraId="1D603DB2" w14:textId="6F154459" w:rsidR="00B751CB" w:rsidRPr="00CA166C" w:rsidRDefault="00B751CB" w:rsidP="006A603F">
          <w:pPr>
            <w:pStyle w:val="Footer"/>
            <w:rPr>
              <w:noProof/>
              <w:lang w:eastAsia="en-GB"/>
            </w:rPr>
          </w:pPr>
          <w:r w:rsidRPr="00CA166C">
            <w:rPr>
              <w:noProof/>
              <w:lang w:val="en-US" w:eastAsia="en-US"/>
            </w:rPr>
            <w:drawing>
              <wp:anchor distT="0" distB="0" distL="114300" distR="114300" simplePos="0" relativeHeight="251657728" behindDoc="1" locked="0" layoutInCell="1" allowOverlap="1" wp14:anchorId="504D88DB" wp14:editId="498807DC">
                <wp:simplePos x="0" y="0"/>
                <wp:positionH relativeFrom="page">
                  <wp:posOffset>4962875</wp:posOffset>
                </wp:positionH>
                <wp:positionV relativeFrom="page">
                  <wp:posOffset>9074150</wp:posOffset>
                </wp:positionV>
                <wp:extent cx="2622550" cy="1629410"/>
                <wp:effectExtent l="0" t="0" r="6350" b="8890"/>
                <wp:wrapNone/>
                <wp:docPr id="10" name="Picture 4" descr="itea3_templ_base_word-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a3_templ_base_word-bot.jpg"/>
                        <pic:cNvPicPr/>
                      </pic:nvPicPr>
                      <pic:blipFill>
                        <a:blip r:embed="rId1"/>
                        <a:stretch>
                          <a:fillRect/>
                        </a:stretch>
                      </pic:blipFill>
                      <pic:spPr>
                        <a:xfrm>
                          <a:off x="0" y="0"/>
                          <a:ext cx="2622550" cy="1629410"/>
                        </a:xfrm>
                        <a:prstGeom prst="rect">
                          <a:avLst/>
                        </a:prstGeom>
                      </pic:spPr>
                    </pic:pic>
                  </a:graphicData>
                </a:graphic>
              </wp:anchor>
            </w:drawing>
          </w:r>
          <w:r w:rsidRPr="00CA166C">
            <w:t xml:space="preserve">Page </w:t>
          </w:r>
          <w:r w:rsidRPr="00CA166C">
            <w:rPr>
              <w:rStyle w:val="PageNumber"/>
              <w:rFonts w:cs="Arial"/>
              <w:szCs w:val="20"/>
            </w:rPr>
            <w:fldChar w:fldCharType="begin"/>
          </w:r>
          <w:r w:rsidRPr="007F744A">
            <w:rPr>
              <w:rStyle w:val="PageNumber"/>
              <w:rFonts w:cs="Arial"/>
              <w:szCs w:val="20"/>
            </w:rPr>
            <w:instrText xml:space="preserve"> PAGE </w:instrText>
          </w:r>
          <w:r w:rsidRPr="00CA166C">
            <w:rPr>
              <w:rStyle w:val="PageNumber"/>
              <w:rFonts w:cs="Arial"/>
              <w:szCs w:val="20"/>
            </w:rPr>
            <w:fldChar w:fldCharType="separate"/>
          </w:r>
          <w:r w:rsidR="00000EDB">
            <w:rPr>
              <w:rStyle w:val="PageNumber"/>
              <w:rFonts w:cs="Arial"/>
              <w:noProof/>
              <w:szCs w:val="20"/>
            </w:rPr>
            <w:t>9</w:t>
          </w:r>
          <w:r w:rsidRPr="00CA166C">
            <w:rPr>
              <w:rStyle w:val="PageNumber"/>
              <w:rFonts w:cs="Arial"/>
              <w:szCs w:val="20"/>
            </w:rPr>
            <w:fldChar w:fldCharType="end"/>
          </w:r>
          <w:r w:rsidRPr="007F744A">
            <w:rPr>
              <w:rStyle w:val="PageNumber"/>
              <w:rFonts w:cs="Arial"/>
              <w:b/>
              <w:szCs w:val="20"/>
            </w:rPr>
            <w:t xml:space="preserve"> of </w:t>
          </w:r>
          <w:r w:rsidRPr="00CF6CCA">
            <w:rPr>
              <w:rStyle w:val="PageNumber"/>
              <w:rFonts w:cs="Arial"/>
              <w:szCs w:val="20"/>
            </w:rPr>
            <w:fldChar w:fldCharType="begin"/>
          </w:r>
          <w:r w:rsidRPr="007F744A">
            <w:rPr>
              <w:rStyle w:val="PageNumber"/>
              <w:rFonts w:cs="Arial"/>
              <w:b/>
              <w:szCs w:val="20"/>
            </w:rPr>
            <w:instrText xml:space="preserve"> NUMPAGES </w:instrText>
          </w:r>
          <w:r w:rsidRPr="00CF6CCA">
            <w:rPr>
              <w:rStyle w:val="PageNumber"/>
              <w:rFonts w:cs="Arial"/>
              <w:szCs w:val="20"/>
            </w:rPr>
            <w:fldChar w:fldCharType="separate"/>
          </w:r>
          <w:r w:rsidR="00000EDB">
            <w:rPr>
              <w:rStyle w:val="PageNumber"/>
              <w:rFonts w:cs="Arial"/>
              <w:b/>
              <w:noProof/>
              <w:szCs w:val="20"/>
            </w:rPr>
            <w:t>30</w:t>
          </w:r>
          <w:r w:rsidRPr="00CF6CCA">
            <w:rPr>
              <w:rStyle w:val="PageNumber"/>
              <w:rFonts w:cs="Arial"/>
              <w:szCs w:val="20"/>
            </w:rPr>
            <w:fldChar w:fldCharType="end"/>
          </w:r>
        </w:p>
      </w:tc>
      <w:tc>
        <w:tcPr>
          <w:tcW w:w="3686" w:type="dxa"/>
        </w:tcPr>
        <w:p w14:paraId="102B9222" w14:textId="77777777" w:rsidR="00B751CB" w:rsidRDefault="00B751CB" w:rsidP="0028784F">
          <w:pPr>
            <w:pStyle w:val="Footer"/>
            <w:jc w:val="center"/>
            <w:rPr>
              <w:szCs w:val="20"/>
            </w:rPr>
          </w:pPr>
          <w:r>
            <w:rPr>
              <w:szCs w:val="20"/>
            </w:rPr>
            <w:t>Public</w:t>
          </w:r>
        </w:p>
      </w:tc>
      <w:tc>
        <w:tcPr>
          <w:tcW w:w="3968" w:type="dxa"/>
        </w:tcPr>
        <w:p w14:paraId="7291EC3A" w14:textId="43F28D66" w:rsidR="00B751CB" w:rsidRPr="00CA166C" w:rsidRDefault="00B751CB" w:rsidP="00E05F80">
          <w:pPr>
            <w:pStyle w:val="Footer"/>
            <w:jc w:val="right"/>
            <w:rPr>
              <w:noProof/>
              <w:lang w:eastAsia="en-GB"/>
            </w:rPr>
          </w:pPr>
          <w:r>
            <w:rPr>
              <w:szCs w:val="20"/>
            </w:rPr>
            <w:t>V1.0</w:t>
          </w:r>
        </w:p>
        <w:p w14:paraId="63207104" w14:textId="77777777" w:rsidR="00B751CB" w:rsidRPr="00CA166C" w:rsidRDefault="00B751CB" w:rsidP="006A603F">
          <w:pPr>
            <w:pStyle w:val="Footer"/>
            <w:rPr>
              <w:b/>
            </w:rPr>
          </w:pPr>
          <w:r w:rsidRPr="00CA166C">
            <w:rPr>
              <w:noProof/>
              <w:lang w:val="en-US" w:eastAsia="en-US"/>
            </w:rPr>
            <w:drawing>
              <wp:anchor distT="0" distB="0" distL="114300" distR="114300" simplePos="0" relativeHeight="251655680" behindDoc="1" locked="0" layoutInCell="1" allowOverlap="1" wp14:anchorId="02A255A6" wp14:editId="28BC62CD">
                <wp:simplePos x="0" y="0"/>
                <wp:positionH relativeFrom="page">
                  <wp:posOffset>4962875</wp:posOffset>
                </wp:positionH>
                <wp:positionV relativeFrom="page">
                  <wp:posOffset>9074150</wp:posOffset>
                </wp:positionV>
                <wp:extent cx="2622550" cy="1629410"/>
                <wp:effectExtent l="0" t="0" r="6350" b="8890"/>
                <wp:wrapNone/>
                <wp:docPr id="12" name="Picture 4" descr="itea3_templ_base_word-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a3_templ_base_word-bot.jpg"/>
                        <pic:cNvPicPr/>
                      </pic:nvPicPr>
                      <pic:blipFill>
                        <a:blip r:embed="rId1"/>
                        <a:stretch>
                          <a:fillRect/>
                        </a:stretch>
                      </pic:blipFill>
                      <pic:spPr>
                        <a:xfrm>
                          <a:off x="0" y="0"/>
                          <a:ext cx="2622550" cy="1629410"/>
                        </a:xfrm>
                        <a:prstGeom prst="rect">
                          <a:avLst/>
                        </a:prstGeom>
                      </pic:spPr>
                    </pic:pic>
                  </a:graphicData>
                </a:graphic>
              </wp:anchor>
            </w:drawing>
          </w:r>
        </w:p>
      </w:tc>
    </w:tr>
  </w:tbl>
  <w:p w14:paraId="09F4953E" w14:textId="77777777" w:rsidR="00B751CB" w:rsidRDefault="00B751CB"/>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64474" w14:textId="77777777" w:rsidR="00B751CB" w:rsidRDefault="00B751CB" w:rsidP="00CA166C">
    <w:pPr>
      <w:pStyle w:val="Footer"/>
    </w:pPr>
    <w:r>
      <w:rPr>
        <w:noProof/>
        <w:lang w:val="en-US" w:eastAsia="en-US"/>
      </w:rPr>
      <w:drawing>
        <wp:anchor distT="0" distB="0" distL="114300" distR="114300" simplePos="0" relativeHeight="251657216" behindDoc="1" locked="0" layoutInCell="1" allowOverlap="1" wp14:anchorId="5E270D5E" wp14:editId="1B38B727">
          <wp:simplePos x="0" y="0"/>
          <wp:positionH relativeFrom="page">
            <wp:posOffset>4928235</wp:posOffset>
          </wp:positionH>
          <wp:positionV relativeFrom="page">
            <wp:posOffset>9063640</wp:posOffset>
          </wp:positionV>
          <wp:extent cx="2633839" cy="1636889"/>
          <wp:effectExtent l="0" t="0" r="0" b="1905"/>
          <wp:wrapNone/>
          <wp:docPr id="16" name="Picture 1" descr="itea3_templ_base_word-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a3_templ_base_word-bot.jpg"/>
                  <pic:cNvPicPr/>
                </pic:nvPicPr>
                <pic:blipFill>
                  <a:blip r:embed="rId1"/>
                  <a:stretch>
                    <a:fillRect/>
                  </a:stretch>
                </pic:blipFill>
                <pic:spPr>
                  <a:xfrm>
                    <a:off x="0" y="0"/>
                    <a:ext cx="2633839" cy="1636889"/>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5DC609" w14:textId="77777777" w:rsidR="00B751CB" w:rsidRDefault="00B751CB" w:rsidP="00963638">
      <w:r>
        <w:separator/>
      </w:r>
    </w:p>
  </w:footnote>
  <w:footnote w:type="continuationSeparator" w:id="0">
    <w:p w14:paraId="78A6B0E5" w14:textId="77777777" w:rsidR="00B751CB" w:rsidRDefault="00B751CB" w:rsidP="0096363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53255"/>
      <w:docPartObj>
        <w:docPartGallery w:val="Page Numbers (Top of Page)"/>
        <w:docPartUnique/>
      </w:docPartObj>
    </w:sdtPr>
    <w:sdtEndPr/>
    <w:sdtContent>
      <w:p w14:paraId="5B8CF3F0" w14:textId="77777777" w:rsidR="00B751CB" w:rsidRPr="00F14F6F" w:rsidRDefault="00B751CB" w:rsidP="0028784F">
        <w:pPr>
          <w:pStyle w:val="Header"/>
          <w:rPr>
            <w:sz w:val="12"/>
            <w:szCs w:val="12"/>
          </w:rPr>
        </w:pPr>
        <w:r>
          <w:rPr>
            <w:noProof/>
            <w:lang w:val="en-US" w:eastAsia="en-US"/>
          </w:rPr>
          <w:drawing>
            <wp:anchor distT="0" distB="0" distL="114300" distR="114300" simplePos="0" relativeHeight="251656192" behindDoc="1" locked="0" layoutInCell="1" allowOverlap="1" wp14:anchorId="04227D13" wp14:editId="3A24FF1F">
              <wp:simplePos x="0" y="0"/>
              <wp:positionH relativeFrom="leftMargin">
                <wp:posOffset>720090</wp:posOffset>
              </wp:positionH>
              <wp:positionV relativeFrom="paragraph">
                <wp:posOffset>3810</wp:posOffset>
              </wp:positionV>
              <wp:extent cx="874800" cy="460800"/>
              <wp:effectExtent l="0" t="0" r="0" b="0"/>
              <wp:wrapNone/>
              <wp:docPr id="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30287" t="39057" b="26829"/>
                      <a:stretch/>
                    </pic:blipFill>
                    <pic:spPr bwMode="auto">
                      <a:xfrm>
                        <a:off x="0" y="0"/>
                        <a:ext cx="874800" cy="460800"/>
                      </a:xfrm>
                      <a:prstGeom prst="rect">
                        <a:avLst/>
                      </a:prstGeom>
                      <a:noFill/>
                      <a:ln>
                        <a:noFill/>
                      </a:ln>
                      <a:extLst>
                        <a:ext uri="{53640926-AAD7-44d8-BBD7-CCE9431645EC}">
                          <a14:shadowObscured xmlns:a14="http://schemas.microsoft.com/office/drawing/2010/main"/>
                        </a:ext>
                      </a:extLst>
                    </pic:spPr>
                  </pic:pic>
                </a:graphicData>
              </a:graphic>
            </wp:anchor>
          </w:drawing>
        </w:r>
      </w:p>
    </w:sdtContent>
  </w:sdt>
  <w:p w14:paraId="49772A75" w14:textId="77777777" w:rsidR="00B751CB" w:rsidRDefault="00B751CB" w:rsidP="00907F83">
    <w:pPr>
      <w:pStyle w:val="Header"/>
      <w:tabs>
        <w:tab w:val="left" w:pos="570"/>
        <w:tab w:val="left" w:pos="1065"/>
        <w:tab w:val="left" w:pos="6855"/>
      </w:tabs>
      <w:spacing w:before="120" w:after="120"/>
    </w:pPr>
    <w:r w:rsidRPr="00ED4C08">
      <w:rPr>
        <w:noProof/>
        <w:color w:val="00A651" w:themeColor="accent1"/>
        <w:lang w:val="en-US" w:eastAsia="en-US"/>
      </w:rPr>
      <w:drawing>
        <wp:anchor distT="0" distB="0" distL="114300" distR="114300" simplePos="0" relativeHeight="251660288" behindDoc="0" locked="0" layoutInCell="1" allowOverlap="1" wp14:anchorId="385C0B19" wp14:editId="3E2298D2">
          <wp:simplePos x="0" y="0"/>
          <wp:positionH relativeFrom="margin">
            <wp:posOffset>5006340</wp:posOffset>
          </wp:positionH>
          <wp:positionV relativeFrom="page">
            <wp:posOffset>579810</wp:posOffset>
          </wp:positionV>
          <wp:extent cx="752400" cy="194400"/>
          <wp:effectExtent l="0" t="0" r="0" b="0"/>
          <wp:wrapNone/>
          <wp:docPr id="9" name="Picture 2" descr="itea3_templ_base_word-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itea3_templ_base_word-top-2.jpg"/>
                  <pic:cNvPicPr>
                    <a:picLocks noChangeAspect="1"/>
                  </pic:cNvPicPr>
                </pic:nvPicPr>
                <pic:blipFill rotWithShape="1">
                  <a:blip r:embed="rId2">
                    <a:extLst>
                      <a:ext uri="{28A0092B-C50C-407E-A947-70E740481C1C}">
                        <a14:useLocalDpi xmlns:a14="http://schemas.microsoft.com/office/drawing/2010/main" val="0"/>
                      </a:ext>
                    </a:extLst>
                  </a:blip>
                  <a:srcRect l="11920" t="28796" r="8432" b="25235"/>
                  <a:stretch/>
                </pic:blipFill>
                <pic:spPr>
                  <a:xfrm>
                    <a:off x="0" y="0"/>
                    <a:ext cx="752400" cy="194400"/>
                  </a:xfrm>
                  <a:prstGeom prst="rect">
                    <a:avLst/>
                  </a:prstGeom>
                </pic:spPr>
              </pic:pic>
            </a:graphicData>
          </a:graphic>
        </wp:anchor>
      </w:drawing>
    </w:r>
    <w:r>
      <w:rPr>
        <w:color w:val="00A651" w:themeColor="accent1"/>
      </w:rPr>
      <w:br/>
    </w:r>
  </w:p>
  <w:p w14:paraId="7BA4B666" w14:textId="77777777" w:rsidR="00B751CB" w:rsidRPr="00907F83" w:rsidRDefault="00B751CB" w:rsidP="006C469E">
    <w:pPr>
      <w:pStyle w:val="Header"/>
      <w:tabs>
        <w:tab w:val="left" w:pos="570"/>
        <w:tab w:val="left" w:pos="1065"/>
        <w:tab w:val="left" w:pos="6855"/>
      </w:tabs>
      <w:spacing w:before="120" w:after="120"/>
    </w:pPr>
    <w:r>
      <w:t>D4.1</w:t>
    </w:r>
    <w:r w:rsidRPr="00497588">
      <w:t xml:space="preserve"> </w:t>
    </w:r>
    <w:r>
      <w:t>–</w:t>
    </w:r>
    <w:r w:rsidRPr="00497588">
      <w:t xml:space="preserve"> </w:t>
    </w:r>
    <w:r>
      <w:t>Methodology draft</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B0F80" w14:textId="77777777" w:rsidR="00B751CB" w:rsidRPr="00301ABB" w:rsidRDefault="00B751CB" w:rsidP="00DA1B2C">
    <w:pPr>
      <w:pStyle w:val="Header"/>
      <w:rPr>
        <w:rFonts w:eastAsia="SimSun"/>
        <w:color w:val="999999"/>
        <w:sz w:val="16"/>
        <w:lang w:val="en-US" w:eastAsia="zh-CN"/>
      </w:rPr>
    </w:pPr>
    <w:r w:rsidRPr="00301ABB">
      <w:rPr>
        <w:rFonts w:eastAsia="SimSun"/>
        <w:color w:val="999999"/>
        <w:sz w:val="16"/>
        <w:lang w:val="en-US" w:eastAsia="zh-CN"/>
      </w:rPr>
      <w:t>PROPRIETARY RIGHTS STATEMENT</w:t>
    </w:r>
  </w:p>
  <w:p w14:paraId="28CE6F81" w14:textId="77777777" w:rsidR="00B751CB" w:rsidRPr="00ED193F" w:rsidRDefault="00B751CB" w:rsidP="00DA1B2C">
    <w:pPr>
      <w:pStyle w:val="Footer"/>
      <w:jc w:val="both"/>
      <w:rPr>
        <w:rFonts w:eastAsia="SimSun"/>
        <w:color w:val="999999"/>
        <w:sz w:val="18"/>
        <w:szCs w:val="18"/>
        <w:lang w:val="en-US" w:eastAsia="zh-CN"/>
      </w:rPr>
    </w:pPr>
    <w:r w:rsidRPr="00ED193F">
      <w:rPr>
        <w:rFonts w:eastAsia="SimSun"/>
        <w:color w:val="999999"/>
        <w:sz w:val="18"/>
        <w:szCs w:val="18"/>
        <w:lang w:val="en-US" w:eastAsia="zh-CN"/>
      </w:rPr>
      <w:t xml:space="preserve">THIS DOCUMENT CONTAINS INFORMATION, WHICH IS PROPRIETARY TO THE </w:t>
    </w:r>
    <w:r>
      <w:rPr>
        <w:rFonts w:eastAsia="SimSun"/>
        <w:color w:val="999999"/>
        <w:sz w:val="18"/>
        <w:szCs w:val="18"/>
        <w:lang w:val="en-US" w:eastAsia="zh-CN"/>
      </w:rPr>
      <w:t>ASSUM</w:t>
    </w:r>
    <w:r w:rsidRPr="00ED193F">
      <w:rPr>
        <w:rFonts w:eastAsia="SimSun"/>
        <w:color w:val="999999"/>
        <w:sz w:val="18"/>
        <w:szCs w:val="18"/>
        <w:lang w:val="en-US" w:eastAsia="zh-CN"/>
      </w:rPr>
      <w:t xml:space="preserve">E CONSORTIUM. NEITHER THIS DOCUMENT NOR THE INFORMATION CONTAINED HEREIN SHALL BE USED, DUPLICATED OR COMMUNICATED BY ANY MEANS TO ANY THIRD PARTY, IN WHOLE OR IN PARTS, EXCEPT WITH THE PRIOR WRITTEN CONSENT OF THE </w:t>
    </w:r>
    <w:r>
      <w:rPr>
        <w:rFonts w:eastAsia="SimSun"/>
        <w:color w:val="999999"/>
        <w:sz w:val="18"/>
        <w:szCs w:val="18"/>
        <w:lang w:val="en-US" w:eastAsia="zh-CN"/>
      </w:rPr>
      <w:t>ASSUM</w:t>
    </w:r>
    <w:r w:rsidRPr="00ED193F">
      <w:rPr>
        <w:rFonts w:eastAsia="SimSun"/>
        <w:color w:val="999999"/>
        <w:sz w:val="18"/>
        <w:szCs w:val="18"/>
        <w:lang w:val="en-US" w:eastAsia="zh-CN"/>
      </w:rPr>
      <w:t xml:space="preserve">E CONSORTIUM THIS RESTRICTION LEGEND SHALL NOT BE ALTERED OR OBLITERATED ON OR FROM THIS DOCUMENT. THE RESEARCH </w:t>
    </w:r>
    <w:r w:rsidRPr="00ED193F">
      <w:rPr>
        <w:rFonts w:eastAsia="SimSun"/>
        <w:caps/>
        <w:color w:val="999999"/>
        <w:sz w:val="18"/>
        <w:szCs w:val="18"/>
        <w:lang w:val="en-US" w:eastAsia="zh-CN"/>
      </w:rPr>
      <w:t xml:space="preserve">leading to these results has received funding from </w:t>
    </w:r>
    <w:r>
      <w:rPr>
        <w:rFonts w:eastAsia="SimSun"/>
        <w:caps/>
        <w:color w:val="999999"/>
        <w:sz w:val="18"/>
        <w:szCs w:val="18"/>
        <w:lang w:val="en-US" w:eastAsia="zh-CN"/>
      </w:rPr>
      <w:t>various National Authorities in the</w:t>
    </w:r>
    <w:r w:rsidRPr="00ED193F">
      <w:rPr>
        <w:rFonts w:eastAsia="SimSun"/>
        <w:color w:val="999999"/>
        <w:sz w:val="18"/>
        <w:szCs w:val="18"/>
        <w:lang w:val="en-US" w:eastAsia="zh-CN"/>
      </w:rPr>
      <w:t xml:space="preserve"> FRAMEWORK </w:t>
    </w:r>
    <w:r>
      <w:rPr>
        <w:rFonts w:eastAsia="SimSun"/>
        <w:caps/>
        <w:color w:val="999999"/>
        <w:sz w:val="18"/>
        <w:szCs w:val="18"/>
        <w:lang w:val="en-US" w:eastAsia="zh-CN"/>
      </w:rPr>
      <w:t>of the ITEA 3 Programme (Project Number 14014)</w:t>
    </w:r>
    <w:r w:rsidRPr="00ED193F">
      <w:rPr>
        <w:rFonts w:eastAsia="SimSun"/>
        <w:color w:val="999999"/>
        <w:sz w:val="18"/>
        <w:szCs w:val="18"/>
        <w:lang w:val="en-US" w:eastAsia="zh-CN"/>
      </w:rPr>
      <w: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1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3"/>
    <w:multiLevelType w:val="multilevel"/>
    <w:tmpl w:val="00000003"/>
    <w:name w:val="WWNum1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740440B"/>
    <w:multiLevelType w:val="hybridMultilevel"/>
    <w:tmpl w:val="23D4E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3211A9"/>
    <w:multiLevelType w:val="hybridMultilevel"/>
    <w:tmpl w:val="E31C55B2"/>
    <w:lvl w:ilvl="0" w:tplc="1728C748">
      <w:start w:val="1"/>
      <w:numFmt w:val="bullet"/>
      <w:pStyle w:val="Bulletsintables"/>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694FE6"/>
    <w:multiLevelType w:val="hybridMultilevel"/>
    <w:tmpl w:val="C56A2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D0331C"/>
    <w:multiLevelType w:val="hybridMultilevel"/>
    <w:tmpl w:val="DFDEEF92"/>
    <w:lvl w:ilvl="0" w:tplc="C496451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D67F38"/>
    <w:multiLevelType w:val="hybridMultilevel"/>
    <w:tmpl w:val="4888EC4C"/>
    <w:lvl w:ilvl="0" w:tplc="E4E25286">
      <w:start w:val="1"/>
      <w:numFmt w:val="decimal"/>
      <w:pStyle w:val="ActionStyle"/>
      <w:lvlText w:val="Action %1."/>
      <w:lvlJc w:val="right"/>
      <w:pPr>
        <w:ind w:left="1776" w:hanging="360"/>
      </w:pPr>
      <w:rPr>
        <w:rFonts w:hint="default"/>
      </w:r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7">
    <w:nsid w:val="13B94EDA"/>
    <w:multiLevelType w:val="hybridMultilevel"/>
    <w:tmpl w:val="8FD42BEC"/>
    <w:lvl w:ilvl="0" w:tplc="68388DA2">
      <w:start w:val="1"/>
      <w:numFmt w:val="bullet"/>
      <w:lvlText w:val="•"/>
      <w:lvlJc w:val="left"/>
      <w:pPr>
        <w:tabs>
          <w:tab w:val="num" w:pos="720"/>
        </w:tabs>
        <w:ind w:left="720" w:hanging="360"/>
      </w:pPr>
      <w:rPr>
        <w:rFonts w:ascii="Arial" w:hAnsi="Arial" w:hint="default"/>
      </w:rPr>
    </w:lvl>
    <w:lvl w:ilvl="1" w:tplc="05C2544C">
      <w:start w:val="1"/>
      <w:numFmt w:val="bullet"/>
      <w:lvlText w:val="•"/>
      <w:lvlJc w:val="left"/>
      <w:pPr>
        <w:tabs>
          <w:tab w:val="num" w:pos="1440"/>
        </w:tabs>
        <w:ind w:left="1440" w:hanging="360"/>
      </w:pPr>
      <w:rPr>
        <w:rFonts w:ascii="Arial" w:hAnsi="Arial" w:hint="default"/>
      </w:rPr>
    </w:lvl>
    <w:lvl w:ilvl="2" w:tplc="73FE6114" w:tentative="1">
      <w:start w:val="1"/>
      <w:numFmt w:val="bullet"/>
      <w:lvlText w:val="•"/>
      <w:lvlJc w:val="left"/>
      <w:pPr>
        <w:tabs>
          <w:tab w:val="num" w:pos="2160"/>
        </w:tabs>
        <w:ind w:left="2160" w:hanging="360"/>
      </w:pPr>
      <w:rPr>
        <w:rFonts w:ascii="Arial" w:hAnsi="Arial" w:hint="default"/>
      </w:rPr>
    </w:lvl>
    <w:lvl w:ilvl="3" w:tplc="9CC0DF20" w:tentative="1">
      <w:start w:val="1"/>
      <w:numFmt w:val="bullet"/>
      <w:lvlText w:val="•"/>
      <w:lvlJc w:val="left"/>
      <w:pPr>
        <w:tabs>
          <w:tab w:val="num" w:pos="2880"/>
        </w:tabs>
        <w:ind w:left="2880" w:hanging="360"/>
      </w:pPr>
      <w:rPr>
        <w:rFonts w:ascii="Arial" w:hAnsi="Arial" w:hint="default"/>
      </w:rPr>
    </w:lvl>
    <w:lvl w:ilvl="4" w:tplc="6BE48CA8" w:tentative="1">
      <w:start w:val="1"/>
      <w:numFmt w:val="bullet"/>
      <w:lvlText w:val="•"/>
      <w:lvlJc w:val="left"/>
      <w:pPr>
        <w:tabs>
          <w:tab w:val="num" w:pos="3600"/>
        </w:tabs>
        <w:ind w:left="3600" w:hanging="360"/>
      </w:pPr>
      <w:rPr>
        <w:rFonts w:ascii="Arial" w:hAnsi="Arial" w:hint="default"/>
      </w:rPr>
    </w:lvl>
    <w:lvl w:ilvl="5" w:tplc="A8263CA8" w:tentative="1">
      <w:start w:val="1"/>
      <w:numFmt w:val="bullet"/>
      <w:lvlText w:val="•"/>
      <w:lvlJc w:val="left"/>
      <w:pPr>
        <w:tabs>
          <w:tab w:val="num" w:pos="4320"/>
        </w:tabs>
        <w:ind w:left="4320" w:hanging="360"/>
      </w:pPr>
      <w:rPr>
        <w:rFonts w:ascii="Arial" w:hAnsi="Arial" w:hint="default"/>
      </w:rPr>
    </w:lvl>
    <w:lvl w:ilvl="6" w:tplc="504AB830" w:tentative="1">
      <w:start w:val="1"/>
      <w:numFmt w:val="bullet"/>
      <w:lvlText w:val="•"/>
      <w:lvlJc w:val="left"/>
      <w:pPr>
        <w:tabs>
          <w:tab w:val="num" w:pos="5040"/>
        </w:tabs>
        <w:ind w:left="5040" w:hanging="360"/>
      </w:pPr>
      <w:rPr>
        <w:rFonts w:ascii="Arial" w:hAnsi="Arial" w:hint="default"/>
      </w:rPr>
    </w:lvl>
    <w:lvl w:ilvl="7" w:tplc="B75E0C22" w:tentative="1">
      <w:start w:val="1"/>
      <w:numFmt w:val="bullet"/>
      <w:lvlText w:val="•"/>
      <w:lvlJc w:val="left"/>
      <w:pPr>
        <w:tabs>
          <w:tab w:val="num" w:pos="5760"/>
        </w:tabs>
        <w:ind w:left="5760" w:hanging="360"/>
      </w:pPr>
      <w:rPr>
        <w:rFonts w:ascii="Arial" w:hAnsi="Arial" w:hint="default"/>
      </w:rPr>
    </w:lvl>
    <w:lvl w:ilvl="8" w:tplc="DA2C6E72" w:tentative="1">
      <w:start w:val="1"/>
      <w:numFmt w:val="bullet"/>
      <w:lvlText w:val="•"/>
      <w:lvlJc w:val="left"/>
      <w:pPr>
        <w:tabs>
          <w:tab w:val="num" w:pos="6480"/>
        </w:tabs>
        <w:ind w:left="6480" w:hanging="360"/>
      </w:pPr>
      <w:rPr>
        <w:rFonts w:ascii="Arial" w:hAnsi="Arial" w:hint="default"/>
      </w:rPr>
    </w:lvl>
  </w:abstractNum>
  <w:abstractNum w:abstractNumId="8">
    <w:nsid w:val="13F97C5D"/>
    <w:multiLevelType w:val="hybridMultilevel"/>
    <w:tmpl w:val="82C0985C"/>
    <w:lvl w:ilvl="0" w:tplc="C496451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AA07B4"/>
    <w:multiLevelType w:val="hybridMultilevel"/>
    <w:tmpl w:val="5C8CF5BA"/>
    <w:lvl w:ilvl="0" w:tplc="BB7C3B3C">
      <w:start w:val="1"/>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127D23"/>
    <w:multiLevelType w:val="hybridMultilevel"/>
    <w:tmpl w:val="1A2A1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FB5859"/>
    <w:multiLevelType w:val="hybridMultilevel"/>
    <w:tmpl w:val="5282C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084697"/>
    <w:multiLevelType w:val="hybridMultilevel"/>
    <w:tmpl w:val="1F80D29C"/>
    <w:lvl w:ilvl="0" w:tplc="83FA9406">
      <w:start w:val="1"/>
      <w:numFmt w:val="lowerLetter"/>
      <w:lvlText w:val="(%1)"/>
      <w:lvlJc w:val="left"/>
      <w:pPr>
        <w:ind w:left="3010" w:hanging="360"/>
      </w:pPr>
      <w:rPr>
        <w:rFonts w:hint="default"/>
      </w:rPr>
    </w:lvl>
    <w:lvl w:ilvl="1" w:tplc="04090019" w:tentative="1">
      <w:start w:val="1"/>
      <w:numFmt w:val="lowerLetter"/>
      <w:lvlText w:val="%2."/>
      <w:lvlJc w:val="left"/>
      <w:pPr>
        <w:ind w:left="3730" w:hanging="360"/>
      </w:pPr>
    </w:lvl>
    <w:lvl w:ilvl="2" w:tplc="0409001B" w:tentative="1">
      <w:start w:val="1"/>
      <w:numFmt w:val="lowerRoman"/>
      <w:lvlText w:val="%3."/>
      <w:lvlJc w:val="right"/>
      <w:pPr>
        <w:ind w:left="4450" w:hanging="180"/>
      </w:pPr>
    </w:lvl>
    <w:lvl w:ilvl="3" w:tplc="0409000F" w:tentative="1">
      <w:start w:val="1"/>
      <w:numFmt w:val="decimal"/>
      <w:lvlText w:val="%4."/>
      <w:lvlJc w:val="left"/>
      <w:pPr>
        <w:ind w:left="5170" w:hanging="360"/>
      </w:pPr>
    </w:lvl>
    <w:lvl w:ilvl="4" w:tplc="04090019" w:tentative="1">
      <w:start w:val="1"/>
      <w:numFmt w:val="lowerLetter"/>
      <w:lvlText w:val="%5."/>
      <w:lvlJc w:val="left"/>
      <w:pPr>
        <w:ind w:left="5890" w:hanging="360"/>
      </w:pPr>
    </w:lvl>
    <w:lvl w:ilvl="5" w:tplc="0409001B" w:tentative="1">
      <w:start w:val="1"/>
      <w:numFmt w:val="lowerRoman"/>
      <w:lvlText w:val="%6."/>
      <w:lvlJc w:val="right"/>
      <w:pPr>
        <w:ind w:left="6610" w:hanging="180"/>
      </w:pPr>
    </w:lvl>
    <w:lvl w:ilvl="6" w:tplc="0409000F" w:tentative="1">
      <w:start w:val="1"/>
      <w:numFmt w:val="decimal"/>
      <w:lvlText w:val="%7."/>
      <w:lvlJc w:val="left"/>
      <w:pPr>
        <w:ind w:left="7330" w:hanging="360"/>
      </w:pPr>
    </w:lvl>
    <w:lvl w:ilvl="7" w:tplc="04090019" w:tentative="1">
      <w:start w:val="1"/>
      <w:numFmt w:val="lowerLetter"/>
      <w:lvlText w:val="%8."/>
      <w:lvlJc w:val="left"/>
      <w:pPr>
        <w:ind w:left="8050" w:hanging="360"/>
      </w:pPr>
    </w:lvl>
    <w:lvl w:ilvl="8" w:tplc="0409001B" w:tentative="1">
      <w:start w:val="1"/>
      <w:numFmt w:val="lowerRoman"/>
      <w:lvlText w:val="%9."/>
      <w:lvlJc w:val="right"/>
      <w:pPr>
        <w:ind w:left="8770" w:hanging="180"/>
      </w:pPr>
    </w:lvl>
  </w:abstractNum>
  <w:abstractNum w:abstractNumId="13">
    <w:nsid w:val="1B1E09F5"/>
    <w:multiLevelType w:val="hybridMultilevel"/>
    <w:tmpl w:val="624A0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1500F8"/>
    <w:multiLevelType w:val="hybridMultilevel"/>
    <w:tmpl w:val="C9EE5E86"/>
    <w:lvl w:ilvl="0" w:tplc="3CDC3DE4">
      <w:start w:val="1"/>
      <w:numFmt w:val="bullet"/>
      <w:pStyle w:val="ITEAInstructionsBullet-within"/>
      <w:lvlText w:val=""/>
      <w:lvlJc w:val="left"/>
      <w:pPr>
        <w:ind w:left="717" w:hanging="360"/>
      </w:pPr>
      <w:rPr>
        <w:rFonts w:ascii="Source Sans Pro" w:hAnsi="Source Sans Pro" w:hint="default"/>
        <w:b w:val="0"/>
        <w:i w:val="0"/>
        <w:color w:val="FFFFFF" w:themeColor="background1"/>
        <w:sz w:val="20"/>
        <w:u w:val="none"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1556A51"/>
    <w:multiLevelType w:val="hybridMultilevel"/>
    <w:tmpl w:val="389C11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8B5774"/>
    <w:multiLevelType w:val="hybridMultilevel"/>
    <w:tmpl w:val="D65AD7D8"/>
    <w:lvl w:ilvl="0" w:tplc="F264A146">
      <w:start w:val="1"/>
      <w:numFmt w:val="decimal"/>
      <w:pStyle w:val="Numberingintables"/>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26194C53"/>
    <w:multiLevelType w:val="hybridMultilevel"/>
    <w:tmpl w:val="A17A4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87049F"/>
    <w:multiLevelType w:val="multilevel"/>
    <w:tmpl w:val="4D52D902"/>
    <w:styleLink w:val="StyleNumberedBefore0cmHanging1cm1"/>
    <w:lvl w:ilvl="0">
      <w:start w:val="1"/>
      <w:numFmt w:val="decimal"/>
      <w:lvlText w:val="[%1]"/>
      <w:lvlJc w:val="left"/>
      <w:pPr>
        <w:tabs>
          <w:tab w:val="num" w:pos="567"/>
        </w:tabs>
        <w:ind w:left="567" w:hanging="567"/>
      </w:pPr>
      <w:rPr>
        <w:rFonts w:ascii="Arial" w:hAnsi="Arial"/>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29D20F44"/>
    <w:multiLevelType w:val="hybridMultilevel"/>
    <w:tmpl w:val="AF001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EE4144E"/>
    <w:multiLevelType w:val="hybridMultilevel"/>
    <w:tmpl w:val="CE646962"/>
    <w:lvl w:ilvl="0" w:tplc="BB7C3B3C">
      <w:start w:val="1"/>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FA664B"/>
    <w:multiLevelType w:val="hybridMultilevel"/>
    <w:tmpl w:val="4E94FF82"/>
    <w:lvl w:ilvl="0" w:tplc="B534117E">
      <w:start w:val="1"/>
      <w:numFmt w:val="bullet"/>
      <w:pStyle w:val="ITEAInstructionsBullet"/>
      <w:lvlText w:val=""/>
      <w:lvlJc w:val="left"/>
      <w:pPr>
        <w:ind w:left="360" w:hanging="360"/>
      </w:pPr>
      <w:rPr>
        <w:rFonts w:ascii="Wingdings" w:hAnsi="Wingdings" w:hint="default"/>
        <w:spacing w:val="24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nsid w:val="3F1A0430"/>
    <w:multiLevelType w:val="multilevel"/>
    <w:tmpl w:val="6E4CFADE"/>
    <w:lvl w:ilvl="0">
      <w:start w:val="1"/>
      <w:numFmt w:val="upperLetter"/>
      <w:pStyle w:val="ITEAAnnexHeading1"/>
      <w:lvlText w:val="Annex %1: "/>
      <w:lvlJc w:val="left"/>
      <w:pPr>
        <w:ind w:left="0" w:firstLine="0"/>
      </w:pPr>
      <w:rPr>
        <w:rFonts w:hint="default"/>
      </w:rPr>
    </w:lvl>
    <w:lvl w:ilvl="1">
      <w:start w:val="1"/>
      <w:numFmt w:val="lowerLetter"/>
      <w:lvlText w:val="%1.%2. "/>
      <w:lvlJc w:val="left"/>
      <w:pPr>
        <w:tabs>
          <w:tab w:val="num" w:pos="5103"/>
        </w:tabs>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46045109"/>
    <w:multiLevelType w:val="hybridMultilevel"/>
    <w:tmpl w:val="C56A2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6643F3"/>
    <w:multiLevelType w:val="hybridMultilevel"/>
    <w:tmpl w:val="C5C6E778"/>
    <w:lvl w:ilvl="0" w:tplc="04130005">
      <w:start w:val="1"/>
      <w:numFmt w:val="bullet"/>
      <w:pStyle w:val="BodyTextExplanationBullet"/>
      <w:lvlText w:val=""/>
      <w:lvlJc w:val="left"/>
      <w:pPr>
        <w:ind w:left="360" w:hanging="360"/>
      </w:pPr>
      <w:rPr>
        <w:rFonts w:ascii="Wingdings" w:hAnsi="Wingdings" w:hint="default"/>
        <w:spacing w:val="240"/>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nsid w:val="4B4F60D4"/>
    <w:multiLevelType w:val="singleLevel"/>
    <w:tmpl w:val="9CC26BEC"/>
    <w:lvl w:ilvl="0">
      <w:start w:val="1"/>
      <w:numFmt w:val="bullet"/>
      <w:pStyle w:val="BodyTextBullet"/>
      <w:lvlText w:val=""/>
      <w:lvlJc w:val="left"/>
      <w:pPr>
        <w:ind w:left="644" w:hanging="360"/>
      </w:pPr>
      <w:rPr>
        <w:rFonts w:ascii="Symbol" w:hAnsi="Symbol" w:hint="default"/>
        <w:spacing w:val="240"/>
      </w:rPr>
    </w:lvl>
  </w:abstractNum>
  <w:abstractNum w:abstractNumId="26">
    <w:nsid w:val="4E6C56FE"/>
    <w:multiLevelType w:val="hybridMultilevel"/>
    <w:tmpl w:val="0FB85522"/>
    <w:lvl w:ilvl="0" w:tplc="6E040EB2">
      <w:start w:val="1"/>
      <w:numFmt w:val="bullet"/>
      <w:pStyle w:val="BodyTextFPPBullet"/>
      <w:lvlText w:val=""/>
      <w:lvlJc w:val="left"/>
      <w:pPr>
        <w:tabs>
          <w:tab w:val="num" w:pos="397"/>
        </w:tabs>
        <w:ind w:left="0" w:firstLine="284"/>
      </w:pPr>
      <w:rPr>
        <w:rFonts w:ascii="Symbol" w:hAnsi="Symbol" w:hint="default"/>
        <w:spacing w:val="24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54C24CCF"/>
    <w:multiLevelType w:val="hybridMultilevel"/>
    <w:tmpl w:val="C27C8FBA"/>
    <w:lvl w:ilvl="0" w:tplc="FF8C444C">
      <w:start w:val="1"/>
      <w:numFmt w:val="bullet"/>
      <w:pStyle w:val="ITEAAutoGeneratedSection-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7215B3A"/>
    <w:multiLevelType w:val="multilevel"/>
    <w:tmpl w:val="81AACE62"/>
    <w:lvl w:ilvl="0">
      <w:start w:val="1"/>
      <w:numFmt w:val="decimal"/>
      <w:pStyle w:val="ITEAHeading1"/>
      <w:lvlText w:val="%1."/>
      <w:lvlJc w:val="left"/>
      <w:pPr>
        <w:ind w:left="454" w:hanging="454"/>
      </w:pPr>
      <w:rPr>
        <w:rFonts w:hint="default"/>
      </w:rPr>
    </w:lvl>
    <w:lvl w:ilvl="1">
      <w:start w:val="1"/>
      <w:numFmt w:val="decimal"/>
      <w:pStyle w:val="ITEAHeading2"/>
      <w:isLgl/>
      <w:lvlText w:val="%1.%2."/>
      <w:lvlJc w:val="left"/>
      <w:pPr>
        <w:ind w:left="-32766" w:firstLine="32766"/>
      </w:pPr>
      <w:rPr>
        <w:rFonts w:hint="default"/>
      </w:rPr>
    </w:lvl>
    <w:lvl w:ilvl="2">
      <w:start w:val="1"/>
      <w:numFmt w:val="decimal"/>
      <w:pStyle w:val="ITEAHeading3"/>
      <w:isLgl/>
      <w:lvlText w:val="%1.%2.%3."/>
      <w:lvlJc w:val="left"/>
      <w:pPr>
        <w:ind w:left="1424" w:hanging="794"/>
      </w:pPr>
      <w:rPr>
        <w:rFonts w:hint="default"/>
      </w:rPr>
    </w:lvl>
    <w:lvl w:ilvl="3">
      <w:start w:val="1"/>
      <w:numFmt w:val="decimal"/>
      <w:pStyle w:val="ITEAHeading4"/>
      <w:isLgl/>
      <w:lvlText w:val="%1.%2.%3.%4."/>
      <w:lvlJc w:val="left"/>
      <w:pPr>
        <w:ind w:left="964" w:hanging="964"/>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9">
    <w:nsid w:val="597B17C7"/>
    <w:multiLevelType w:val="hybridMultilevel"/>
    <w:tmpl w:val="DADE1900"/>
    <w:lvl w:ilvl="0" w:tplc="23B6807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5E0E0BE4"/>
    <w:multiLevelType w:val="hybridMultilevel"/>
    <w:tmpl w:val="6FB0284C"/>
    <w:lvl w:ilvl="0" w:tplc="4DCCEC30">
      <w:start w:val="1"/>
      <w:numFmt w:val="lowerLetter"/>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649156FB"/>
    <w:multiLevelType w:val="hybridMultilevel"/>
    <w:tmpl w:val="3A9AB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363C17"/>
    <w:multiLevelType w:val="hybridMultilevel"/>
    <w:tmpl w:val="5BE0358A"/>
    <w:lvl w:ilvl="0" w:tplc="706E92CA">
      <w:start w:val="1"/>
      <w:numFmt w:val="bullet"/>
      <w:pStyle w:val="Bullets"/>
      <w:lvlText w:val=""/>
      <w:lvlJc w:val="left"/>
      <w:pPr>
        <w:ind w:left="720" w:hanging="360"/>
      </w:pPr>
      <w:rPr>
        <w:rFonts w:ascii="Wingdings" w:hAnsi="Wingdings" w:hint="default"/>
      </w:rPr>
    </w:lvl>
    <w:lvl w:ilvl="1" w:tplc="BD9491A4">
      <w:numFmt w:val="bullet"/>
      <w:pStyle w:val="Subbullets"/>
      <w:lvlText w:val="-"/>
      <w:lvlJc w:val="left"/>
      <w:pPr>
        <w:ind w:left="1440" w:hanging="360"/>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68FB391F"/>
    <w:multiLevelType w:val="hybridMultilevel"/>
    <w:tmpl w:val="11AC3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434C48"/>
    <w:multiLevelType w:val="multilevel"/>
    <w:tmpl w:val="4D52D902"/>
    <w:numStyleLink w:val="StyleNumberedBefore0cmHanging1cm1"/>
  </w:abstractNum>
  <w:abstractNum w:abstractNumId="35">
    <w:nsid w:val="6EFC7FAE"/>
    <w:multiLevelType w:val="hybridMultilevel"/>
    <w:tmpl w:val="7D102ACE"/>
    <w:lvl w:ilvl="0" w:tplc="801890C4">
      <w:start w:val="1"/>
      <w:numFmt w:val="lowerLetter"/>
      <w:pStyle w:val="ITEAHeadingTableOfContent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F5432A2"/>
    <w:multiLevelType w:val="hybridMultilevel"/>
    <w:tmpl w:val="61348E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3711502"/>
    <w:multiLevelType w:val="hybridMultilevel"/>
    <w:tmpl w:val="C6B6E472"/>
    <w:lvl w:ilvl="0" w:tplc="9678F210">
      <w:start w:val="1"/>
      <w:numFmt w:val="bullet"/>
      <w:pStyle w:val="BodyTextExplanationsubbullet"/>
      <w:lvlText w:val="­"/>
      <w:lvlJc w:val="left"/>
      <w:pPr>
        <w:ind w:left="1288" w:hanging="360"/>
      </w:pPr>
      <w:rPr>
        <w:rFonts w:ascii="Arial" w:hAnsi="Arial" w:hint="default"/>
      </w:rPr>
    </w:lvl>
    <w:lvl w:ilvl="1" w:tplc="04130003" w:tentative="1">
      <w:start w:val="1"/>
      <w:numFmt w:val="bullet"/>
      <w:lvlText w:val="o"/>
      <w:lvlJc w:val="left"/>
      <w:pPr>
        <w:ind w:left="2008" w:hanging="360"/>
      </w:pPr>
      <w:rPr>
        <w:rFonts w:ascii="Courier New" w:hAnsi="Courier New" w:cs="Courier New" w:hint="default"/>
      </w:rPr>
    </w:lvl>
    <w:lvl w:ilvl="2" w:tplc="04130005" w:tentative="1">
      <w:start w:val="1"/>
      <w:numFmt w:val="bullet"/>
      <w:lvlText w:val=""/>
      <w:lvlJc w:val="left"/>
      <w:pPr>
        <w:ind w:left="2728" w:hanging="360"/>
      </w:pPr>
      <w:rPr>
        <w:rFonts w:ascii="Wingdings" w:hAnsi="Wingdings" w:hint="default"/>
      </w:rPr>
    </w:lvl>
    <w:lvl w:ilvl="3" w:tplc="04130001" w:tentative="1">
      <w:start w:val="1"/>
      <w:numFmt w:val="bullet"/>
      <w:lvlText w:val=""/>
      <w:lvlJc w:val="left"/>
      <w:pPr>
        <w:ind w:left="3448" w:hanging="360"/>
      </w:pPr>
      <w:rPr>
        <w:rFonts w:ascii="Symbol" w:hAnsi="Symbol" w:hint="default"/>
      </w:rPr>
    </w:lvl>
    <w:lvl w:ilvl="4" w:tplc="04130003" w:tentative="1">
      <w:start w:val="1"/>
      <w:numFmt w:val="bullet"/>
      <w:lvlText w:val="o"/>
      <w:lvlJc w:val="left"/>
      <w:pPr>
        <w:ind w:left="4168" w:hanging="360"/>
      </w:pPr>
      <w:rPr>
        <w:rFonts w:ascii="Courier New" w:hAnsi="Courier New" w:cs="Courier New" w:hint="default"/>
      </w:rPr>
    </w:lvl>
    <w:lvl w:ilvl="5" w:tplc="04130005" w:tentative="1">
      <w:start w:val="1"/>
      <w:numFmt w:val="bullet"/>
      <w:lvlText w:val=""/>
      <w:lvlJc w:val="left"/>
      <w:pPr>
        <w:ind w:left="4888" w:hanging="360"/>
      </w:pPr>
      <w:rPr>
        <w:rFonts w:ascii="Wingdings" w:hAnsi="Wingdings" w:hint="default"/>
      </w:rPr>
    </w:lvl>
    <w:lvl w:ilvl="6" w:tplc="04130001" w:tentative="1">
      <w:start w:val="1"/>
      <w:numFmt w:val="bullet"/>
      <w:lvlText w:val=""/>
      <w:lvlJc w:val="left"/>
      <w:pPr>
        <w:ind w:left="5608" w:hanging="360"/>
      </w:pPr>
      <w:rPr>
        <w:rFonts w:ascii="Symbol" w:hAnsi="Symbol" w:hint="default"/>
      </w:rPr>
    </w:lvl>
    <w:lvl w:ilvl="7" w:tplc="04130003" w:tentative="1">
      <w:start w:val="1"/>
      <w:numFmt w:val="bullet"/>
      <w:lvlText w:val="o"/>
      <w:lvlJc w:val="left"/>
      <w:pPr>
        <w:ind w:left="6328" w:hanging="360"/>
      </w:pPr>
      <w:rPr>
        <w:rFonts w:ascii="Courier New" w:hAnsi="Courier New" w:cs="Courier New" w:hint="default"/>
      </w:rPr>
    </w:lvl>
    <w:lvl w:ilvl="8" w:tplc="04130005" w:tentative="1">
      <w:start w:val="1"/>
      <w:numFmt w:val="bullet"/>
      <w:lvlText w:val=""/>
      <w:lvlJc w:val="left"/>
      <w:pPr>
        <w:ind w:left="7048" w:hanging="360"/>
      </w:pPr>
      <w:rPr>
        <w:rFonts w:ascii="Wingdings" w:hAnsi="Wingdings" w:hint="default"/>
      </w:rPr>
    </w:lvl>
  </w:abstractNum>
  <w:abstractNum w:abstractNumId="38">
    <w:nsid w:val="74565D1D"/>
    <w:multiLevelType w:val="hybridMultilevel"/>
    <w:tmpl w:val="B31E0A6A"/>
    <w:lvl w:ilvl="0" w:tplc="040C0001">
      <w:start w:val="1"/>
      <w:numFmt w:val="bullet"/>
      <w:lvlText w:val=""/>
      <w:lvlJc w:val="left"/>
      <w:pPr>
        <w:ind w:left="783" w:hanging="360"/>
      </w:pPr>
      <w:rPr>
        <w:rFonts w:ascii="Symbol" w:hAnsi="Symbol"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39">
    <w:nsid w:val="75533E1F"/>
    <w:multiLevelType w:val="hybridMultilevel"/>
    <w:tmpl w:val="BA445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32"/>
  </w:num>
  <w:num w:numId="4">
    <w:abstractNumId w:val="28"/>
  </w:num>
  <w:num w:numId="5">
    <w:abstractNumId w:val="6"/>
  </w:num>
  <w:num w:numId="6">
    <w:abstractNumId w:val="25"/>
  </w:num>
  <w:num w:numId="7">
    <w:abstractNumId w:val="26"/>
  </w:num>
  <w:num w:numId="8">
    <w:abstractNumId w:val="24"/>
  </w:num>
  <w:num w:numId="9">
    <w:abstractNumId w:val="21"/>
  </w:num>
  <w:num w:numId="10">
    <w:abstractNumId w:val="37"/>
  </w:num>
  <w:num w:numId="11">
    <w:abstractNumId w:val="22"/>
  </w:num>
  <w:num w:numId="12">
    <w:abstractNumId w:val="14"/>
  </w:num>
  <w:num w:numId="13">
    <w:abstractNumId w:val="27"/>
  </w:num>
  <w:num w:numId="14">
    <w:abstractNumId w:val="35"/>
  </w:num>
  <w:num w:numId="15">
    <w:abstractNumId w:val="34"/>
  </w:num>
  <w:num w:numId="16">
    <w:abstractNumId w:val="18"/>
  </w:num>
  <w:num w:numId="17">
    <w:abstractNumId w:val="7"/>
  </w:num>
  <w:num w:numId="18">
    <w:abstractNumId w:val="36"/>
  </w:num>
  <w:num w:numId="19">
    <w:abstractNumId w:val="20"/>
  </w:num>
  <w:num w:numId="20">
    <w:abstractNumId w:val="9"/>
  </w:num>
  <w:num w:numId="21">
    <w:abstractNumId w:val="2"/>
  </w:num>
  <w:num w:numId="22">
    <w:abstractNumId w:val="30"/>
  </w:num>
  <w:num w:numId="23">
    <w:abstractNumId w:val="29"/>
  </w:num>
  <w:num w:numId="24">
    <w:abstractNumId w:val="31"/>
  </w:num>
  <w:num w:numId="25">
    <w:abstractNumId w:val="33"/>
  </w:num>
  <w:num w:numId="26">
    <w:abstractNumId w:val="19"/>
  </w:num>
  <w:num w:numId="27">
    <w:abstractNumId w:val="11"/>
  </w:num>
  <w:num w:numId="28">
    <w:abstractNumId w:val="39"/>
  </w:num>
  <w:num w:numId="29">
    <w:abstractNumId w:val="10"/>
  </w:num>
  <w:num w:numId="30">
    <w:abstractNumId w:val="17"/>
  </w:num>
  <w:num w:numId="31">
    <w:abstractNumId w:val="5"/>
  </w:num>
  <w:num w:numId="32">
    <w:abstractNumId w:val="8"/>
  </w:num>
  <w:num w:numId="33">
    <w:abstractNumId w:val="12"/>
  </w:num>
  <w:num w:numId="34">
    <w:abstractNumId w:val="15"/>
  </w:num>
  <w:num w:numId="35">
    <w:abstractNumId w:val="4"/>
  </w:num>
  <w:num w:numId="36">
    <w:abstractNumId w:val="13"/>
  </w:num>
  <w:num w:numId="37">
    <w:abstractNumId w:val="23"/>
  </w:num>
  <w:num w:numId="38">
    <w:abstractNumId w:val="38"/>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tilisateur Microsoft Office">
    <w15:presenceInfo w15:providerId="None" w15:userId="Utilisateur Microsoft Offi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trackRevisions/>
  <w:defaultTabStop w:val="709"/>
  <w:hyphenationZone w:val="425"/>
  <w:defaultTableStyle w:val="MediumShading1-Accent2"/>
  <w:drawingGridHorizontalSpacing w:val="102"/>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E97"/>
    <w:rsid w:val="00000EDB"/>
    <w:rsid w:val="00000FF8"/>
    <w:rsid w:val="000016BD"/>
    <w:rsid w:val="000019F3"/>
    <w:rsid w:val="00003574"/>
    <w:rsid w:val="0000369D"/>
    <w:rsid w:val="000037A8"/>
    <w:rsid w:val="0000386D"/>
    <w:rsid w:val="000039E6"/>
    <w:rsid w:val="00003F76"/>
    <w:rsid w:val="00004C80"/>
    <w:rsid w:val="00005791"/>
    <w:rsid w:val="000059FF"/>
    <w:rsid w:val="00005C6A"/>
    <w:rsid w:val="0000698F"/>
    <w:rsid w:val="00007038"/>
    <w:rsid w:val="00010517"/>
    <w:rsid w:val="00010DAB"/>
    <w:rsid w:val="0001144E"/>
    <w:rsid w:val="00012258"/>
    <w:rsid w:val="000130CF"/>
    <w:rsid w:val="00013449"/>
    <w:rsid w:val="00014C07"/>
    <w:rsid w:val="00015712"/>
    <w:rsid w:val="00015B94"/>
    <w:rsid w:val="00015C2A"/>
    <w:rsid w:val="00016A5E"/>
    <w:rsid w:val="00017091"/>
    <w:rsid w:val="00022367"/>
    <w:rsid w:val="00022B14"/>
    <w:rsid w:val="000245F1"/>
    <w:rsid w:val="0002486C"/>
    <w:rsid w:val="000251C0"/>
    <w:rsid w:val="0002557A"/>
    <w:rsid w:val="000255A7"/>
    <w:rsid w:val="00026803"/>
    <w:rsid w:val="000269EA"/>
    <w:rsid w:val="0002721D"/>
    <w:rsid w:val="00030E0E"/>
    <w:rsid w:val="00031254"/>
    <w:rsid w:val="00031400"/>
    <w:rsid w:val="000316C3"/>
    <w:rsid w:val="00032D74"/>
    <w:rsid w:val="000331E7"/>
    <w:rsid w:val="0003453A"/>
    <w:rsid w:val="000351D9"/>
    <w:rsid w:val="0003576E"/>
    <w:rsid w:val="000365FB"/>
    <w:rsid w:val="000370BA"/>
    <w:rsid w:val="00037394"/>
    <w:rsid w:val="0003787B"/>
    <w:rsid w:val="000408CE"/>
    <w:rsid w:val="000412B8"/>
    <w:rsid w:val="00041DF5"/>
    <w:rsid w:val="000442E4"/>
    <w:rsid w:val="0004664C"/>
    <w:rsid w:val="00047744"/>
    <w:rsid w:val="0004781C"/>
    <w:rsid w:val="00047A8B"/>
    <w:rsid w:val="00050012"/>
    <w:rsid w:val="00050801"/>
    <w:rsid w:val="00050E1A"/>
    <w:rsid w:val="000510F8"/>
    <w:rsid w:val="00051181"/>
    <w:rsid w:val="00051494"/>
    <w:rsid w:val="000516DA"/>
    <w:rsid w:val="0005173E"/>
    <w:rsid w:val="00051800"/>
    <w:rsid w:val="000518E2"/>
    <w:rsid w:val="00051D5D"/>
    <w:rsid w:val="00052AEF"/>
    <w:rsid w:val="00052E81"/>
    <w:rsid w:val="00053508"/>
    <w:rsid w:val="00053DAB"/>
    <w:rsid w:val="000541EB"/>
    <w:rsid w:val="00054222"/>
    <w:rsid w:val="00055201"/>
    <w:rsid w:val="000571C7"/>
    <w:rsid w:val="000573B5"/>
    <w:rsid w:val="000618D1"/>
    <w:rsid w:val="0006356D"/>
    <w:rsid w:val="00064108"/>
    <w:rsid w:val="00064A06"/>
    <w:rsid w:val="00065856"/>
    <w:rsid w:val="00065D00"/>
    <w:rsid w:val="0006612C"/>
    <w:rsid w:val="00070388"/>
    <w:rsid w:val="00070D24"/>
    <w:rsid w:val="00070ECB"/>
    <w:rsid w:val="00070F92"/>
    <w:rsid w:val="00073376"/>
    <w:rsid w:val="000735E9"/>
    <w:rsid w:val="000738CE"/>
    <w:rsid w:val="00074C3D"/>
    <w:rsid w:val="00075250"/>
    <w:rsid w:val="00075BB1"/>
    <w:rsid w:val="00075D67"/>
    <w:rsid w:val="00075E01"/>
    <w:rsid w:val="00076FA9"/>
    <w:rsid w:val="000775EC"/>
    <w:rsid w:val="000777BB"/>
    <w:rsid w:val="00077FAF"/>
    <w:rsid w:val="000801FF"/>
    <w:rsid w:val="000808E8"/>
    <w:rsid w:val="0008101D"/>
    <w:rsid w:val="00081C12"/>
    <w:rsid w:val="00081F13"/>
    <w:rsid w:val="000820AA"/>
    <w:rsid w:val="00082C2B"/>
    <w:rsid w:val="00082CA7"/>
    <w:rsid w:val="00083328"/>
    <w:rsid w:val="00084397"/>
    <w:rsid w:val="00084482"/>
    <w:rsid w:val="00084A01"/>
    <w:rsid w:val="00086128"/>
    <w:rsid w:val="0008619D"/>
    <w:rsid w:val="00086340"/>
    <w:rsid w:val="00090377"/>
    <w:rsid w:val="000905F8"/>
    <w:rsid w:val="000907AE"/>
    <w:rsid w:val="00091954"/>
    <w:rsid w:val="00091C5D"/>
    <w:rsid w:val="00092BF1"/>
    <w:rsid w:val="00092E57"/>
    <w:rsid w:val="000936B6"/>
    <w:rsid w:val="00094BB2"/>
    <w:rsid w:val="0009522E"/>
    <w:rsid w:val="000953CE"/>
    <w:rsid w:val="00097C9B"/>
    <w:rsid w:val="00097F39"/>
    <w:rsid w:val="000A0E65"/>
    <w:rsid w:val="000A0EEE"/>
    <w:rsid w:val="000A3AE5"/>
    <w:rsid w:val="000A4031"/>
    <w:rsid w:val="000A406B"/>
    <w:rsid w:val="000A4168"/>
    <w:rsid w:val="000A5195"/>
    <w:rsid w:val="000A5D42"/>
    <w:rsid w:val="000A5D4D"/>
    <w:rsid w:val="000A6618"/>
    <w:rsid w:val="000A75B8"/>
    <w:rsid w:val="000B0048"/>
    <w:rsid w:val="000B164A"/>
    <w:rsid w:val="000B191C"/>
    <w:rsid w:val="000B197A"/>
    <w:rsid w:val="000B2097"/>
    <w:rsid w:val="000B2E8B"/>
    <w:rsid w:val="000B2EFB"/>
    <w:rsid w:val="000B3AF7"/>
    <w:rsid w:val="000B419D"/>
    <w:rsid w:val="000B4EE6"/>
    <w:rsid w:val="000C00D5"/>
    <w:rsid w:val="000C116F"/>
    <w:rsid w:val="000C144A"/>
    <w:rsid w:val="000C1BC3"/>
    <w:rsid w:val="000C1C2E"/>
    <w:rsid w:val="000C29B5"/>
    <w:rsid w:val="000C2EBE"/>
    <w:rsid w:val="000C3BDD"/>
    <w:rsid w:val="000C53A5"/>
    <w:rsid w:val="000C6E7A"/>
    <w:rsid w:val="000C76F7"/>
    <w:rsid w:val="000D09A8"/>
    <w:rsid w:val="000D1E6E"/>
    <w:rsid w:val="000D270F"/>
    <w:rsid w:val="000D2A4B"/>
    <w:rsid w:val="000D4C65"/>
    <w:rsid w:val="000D630E"/>
    <w:rsid w:val="000D6768"/>
    <w:rsid w:val="000D6C22"/>
    <w:rsid w:val="000D7A5D"/>
    <w:rsid w:val="000E0600"/>
    <w:rsid w:val="000E3194"/>
    <w:rsid w:val="000E3BE5"/>
    <w:rsid w:val="000E7480"/>
    <w:rsid w:val="000E77FE"/>
    <w:rsid w:val="000F04CA"/>
    <w:rsid w:val="000F07E4"/>
    <w:rsid w:val="000F277C"/>
    <w:rsid w:val="000F3DA8"/>
    <w:rsid w:val="000F3E6D"/>
    <w:rsid w:val="000F4F0D"/>
    <w:rsid w:val="000F5A07"/>
    <w:rsid w:val="000F630A"/>
    <w:rsid w:val="000F654D"/>
    <w:rsid w:val="000F75BB"/>
    <w:rsid w:val="0010068F"/>
    <w:rsid w:val="00102434"/>
    <w:rsid w:val="001025F7"/>
    <w:rsid w:val="00102968"/>
    <w:rsid w:val="0010296C"/>
    <w:rsid w:val="00102D14"/>
    <w:rsid w:val="00103F7E"/>
    <w:rsid w:val="001048BC"/>
    <w:rsid w:val="001063C9"/>
    <w:rsid w:val="0010662A"/>
    <w:rsid w:val="00106A8D"/>
    <w:rsid w:val="0010753E"/>
    <w:rsid w:val="0011004F"/>
    <w:rsid w:val="001100D0"/>
    <w:rsid w:val="00110263"/>
    <w:rsid w:val="001102C0"/>
    <w:rsid w:val="00110433"/>
    <w:rsid w:val="001111B3"/>
    <w:rsid w:val="00112FB0"/>
    <w:rsid w:val="00112FE3"/>
    <w:rsid w:val="001137E7"/>
    <w:rsid w:val="001147D4"/>
    <w:rsid w:val="00115049"/>
    <w:rsid w:val="001172BC"/>
    <w:rsid w:val="00117B2C"/>
    <w:rsid w:val="00120256"/>
    <w:rsid w:val="00120317"/>
    <w:rsid w:val="00122FF6"/>
    <w:rsid w:val="001238F6"/>
    <w:rsid w:val="00123E96"/>
    <w:rsid w:val="0012401E"/>
    <w:rsid w:val="001266EC"/>
    <w:rsid w:val="00126C02"/>
    <w:rsid w:val="00130AF3"/>
    <w:rsid w:val="00130D18"/>
    <w:rsid w:val="00130EF7"/>
    <w:rsid w:val="00135109"/>
    <w:rsid w:val="001351A0"/>
    <w:rsid w:val="001354D9"/>
    <w:rsid w:val="001364B4"/>
    <w:rsid w:val="00136C6C"/>
    <w:rsid w:val="00136EA4"/>
    <w:rsid w:val="0013748B"/>
    <w:rsid w:val="00140BFF"/>
    <w:rsid w:val="0014260F"/>
    <w:rsid w:val="00143B13"/>
    <w:rsid w:val="00143DF8"/>
    <w:rsid w:val="001440AC"/>
    <w:rsid w:val="0014484A"/>
    <w:rsid w:val="00144EEB"/>
    <w:rsid w:val="00147D0A"/>
    <w:rsid w:val="00150B1A"/>
    <w:rsid w:val="00151B34"/>
    <w:rsid w:val="0015373A"/>
    <w:rsid w:val="0015376F"/>
    <w:rsid w:val="00154104"/>
    <w:rsid w:val="00155933"/>
    <w:rsid w:val="00155D13"/>
    <w:rsid w:val="00156CDC"/>
    <w:rsid w:val="001573F8"/>
    <w:rsid w:val="001604C8"/>
    <w:rsid w:val="00161395"/>
    <w:rsid w:val="00162E50"/>
    <w:rsid w:val="00163050"/>
    <w:rsid w:val="0016461D"/>
    <w:rsid w:val="001647D1"/>
    <w:rsid w:val="001658F2"/>
    <w:rsid w:val="00165B5A"/>
    <w:rsid w:val="00165D9E"/>
    <w:rsid w:val="0016651B"/>
    <w:rsid w:val="00166951"/>
    <w:rsid w:val="0017124A"/>
    <w:rsid w:val="001715FC"/>
    <w:rsid w:val="0017230B"/>
    <w:rsid w:val="00174CA3"/>
    <w:rsid w:val="001750C4"/>
    <w:rsid w:val="001771E4"/>
    <w:rsid w:val="0018190B"/>
    <w:rsid w:val="00182C03"/>
    <w:rsid w:val="00182F0D"/>
    <w:rsid w:val="00183A52"/>
    <w:rsid w:val="001840C2"/>
    <w:rsid w:val="00185802"/>
    <w:rsid w:val="00186706"/>
    <w:rsid w:val="001870E0"/>
    <w:rsid w:val="00187ED0"/>
    <w:rsid w:val="00190031"/>
    <w:rsid w:val="001903F2"/>
    <w:rsid w:val="00190F90"/>
    <w:rsid w:val="0019153C"/>
    <w:rsid w:val="001949A7"/>
    <w:rsid w:val="00194A56"/>
    <w:rsid w:val="0019531F"/>
    <w:rsid w:val="001A0B0F"/>
    <w:rsid w:val="001A138B"/>
    <w:rsid w:val="001A1725"/>
    <w:rsid w:val="001A213A"/>
    <w:rsid w:val="001A2195"/>
    <w:rsid w:val="001A26E9"/>
    <w:rsid w:val="001A3BD6"/>
    <w:rsid w:val="001A3ED7"/>
    <w:rsid w:val="001A43A9"/>
    <w:rsid w:val="001A472F"/>
    <w:rsid w:val="001A5085"/>
    <w:rsid w:val="001A54F0"/>
    <w:rsid w:val="001A6DBC"/>
    <w:rsid w:val="001A76C3"/>
    <w:rsid w:val="001B0486"/>
    <w:rsid w:val="001B1172"/>
    <w:rsid w:val="001B11EE"/>
    <w:rsid w:val="001B169C"/>
    <w:rsid w:val="001B1AC8"/>
    <w:rsid w:val="001B22CB"/>
    <w:rsid w:val="001B2395"/>
    <w:rsid w:val="001B2C97"/>
    <w:rsid w:val="001B3700"/>
    <w:rsid w:val="001B5B3F"/>
    <w:rsid w:val="001B5C19"/>
    <w:rsid w:val="001B7DC6"/>
    <w:rsid w:val="001C127A"/>
    <w:rsid w:val="001C16CF"/>
    <w:rsid w:val="001C2689"/>
    <w:rsid w:val="001C27E9"/>
    <w:rsid w:val="001C2F7B"/>
    <w:rsid w:val="001C31F8"/>
    <w:rsid w:val="001C3E07"/>
    <w:rsid w:val="001C417D"/>
    <w:rsid w:val="001C4940"/>
    <w:rsid w:val="001C59D5"/>
    <w:rsid w:val="001C6B3B"/>
    <w:rsid w:val="001C6B58"/>
    <w:rsid w:val="001C73C5"/>
    <w:rsid w:val="001C74A9"/>
    <w:rsid w:val="001D058E"/>
    <w:rsid w:val="001D098C"/>
    <w:rsid w:val="001D0DD2"/>
    <w:rsid w:val="001D1902"/>
    <w:rsid w:val="001D1B28"/>
    <w:rsid w:val="001D29DB"/>
    <w:rsid w:val="001D3643"/>
    <w:rsid w:val="001D3E09"/>
    <w:rsid w:val="001D3F96"/>
    <w:rsid w:val="001D4A9F"/>
    <w:rsid w:val="001D67B2"/>
    <w:rsid w:val="001D732A"/>
    <w:rsid w:val="001D749F"/>
    <w:rsid w:val="001D7A1D"/>
    <w:rsid w:val="001D7FD1"/>
    <w:rsid w:val="001E01A6"/>
    <w:rsid w:val="001E02D4"/>
    <w:rsid w:val="001E0840"/>
    <w:rsid w:val="001E1FBD"/>
    <w:rsid w:val="001E23F4"/>
    <w:rsid w:val="001E388D"/>
    <w:rsid w:val="001E3DD6"/>
    <w:rsid w:val="001E4005"/>
    <w:rsid w:val="001E4FD2"/>
    <w:rsid w:val="001E5552"/>
    <w:rsid w:val="001E58CA"/>
    <w:rsid w:val="001E5DBA"/>
    <w:rsid w:val="001E6432"/>
    <w:rsid w:val="001E6F5A"/>
    <w:rsid w:val="001E71EC"/>
    <w:rsid w:val="001E7785"/>
    <w:rsid w:val="001F0992"/>
    <w:rsid w:val="001F09B9"/>
    <w:rsid w:val="001F29AB"/>
    <w:rsid w:val="001F2CD1"/>
    <w:rsid w:val="001F3B79"/>
    <w:rsid w:val="001F4664"/>
    <w:rsid w:val="001F4F31"/>
    <w:rsid w:val="001F59C0"/>
    <w:rsid w:val="001F5CEA"/>
    <w:rsid w:val="001F5D05"/>
    <w:rsid w:val="001F7363"/>
    <w:rsid w:val="001F7596"/>
    <w:rsid w:val="001F779D"/>
    <w:rsid w:val="00200CFD"/>
    <w:rsid w:val="00200E6C"/>
    <w:rsid w:val="0020129B"/>
    <w:rsid w:val="002012BC"/>
    <w:rsid w:val="0020209B"/>
    <w:rsid w:val="002029EA"/>
    <w:rsid w:val="0020312E"/>
    <w:rsid w:val="00203C6E"/>
    <w:rsid w:val="00203D31"/>
    <w:rsid w:val="0020425B"/>
    <w:rsid w:val="0020427A"/>
    <w:rsid w:val="002056B9"/>
    <w:rsid w:val="00207B30"/>
    <w:rsid w:val="00207D07"/>
    <w:rsid w:val="00207E3C"/>
    <w:rsid w:val="002101B7"/>
    <w:rsid w:val="00211D8B"/>
    <w:rsid w:val="00212250"/>
    <w:rsid w:val="002122B0"/>
    <w:rsid w:val="002132DE"/>
    <w:rsid w:val="002137B3"/>
    <w:rsid w:val="0021625E"/>
    <w:rsid w:val="00216E42"/>
    <w:rsid w:val="00217429"/>
    <w:rsid w:val="002175F0"/>
    <w:rsid w:val="0021793B"/>
    <w:rsid w:val="00220903"/>
    <w:rsid w:val="00220E3C"/>
    <w:rsid w:val="0022130F"/>
    <w:rsid w:val="00221E69"/>
    <w:rsid w:val="00223E91"/>
    <w:rsid w:val="00224319"/>
    <w:rsid w:val="0022492A"/>
    <w:rsid w:val="00225EE8"/>
    <w:rsid w:val="00226CC7"/>
    <w:rsid w:val="0023010E"/>
    <w:rsid w:val="00230B87"/>
    <w:rsid w:val="00234C22"/>
    <w:rsid w:val="00235BD8"/>
    <w:rsid w:val="00235D3C"/>
    <w:rsid w:val="00236B28"/>
    <w:rsid w:val="00237711"/>
    <w:rsid w:val="00237BB9"/>
    <w:rsid w:val="00237D43"/>
    <w:rsid w:val="002414C2"/>
    <w:rsid w:val="00241806"/>
    <w:rsid w:val="00241DE0"/>
    <w:rsid w:val="0024223C"/>
    <w:rsid w:val="0024267A"/>
    <w:rsid w:val="00243191"/>
    <w:rsid w:val="0024390E"/>
    <w:rsid w:val="00243E1A"/>
    <w:rsid w:val="00244204"/>
    <w:rsid w:val="002443E6"/>
    <w:rsid w:val="00244FB3"/>
    <w:rsid w:val="00245789"/>
    <w:rsid w:val="00246F8D"/>
    <w:rsid w:val="00247386"/>
    <w:rsid w:val="002475FE"/>
    <w:rsid w:val="0024793A"/>
    <w:rsid w:val="00247DA8"/>
    <w:rsid w:val="00247F22"/>
    <w:rsid w:val="00250D90"/>
    <w:rsid w:val="00251035"/>
    <w:rsid w:val="00252D5F"/>
    <w:rsid w:val="0025305B"/>
    <w:rsid w:val="002533E3"/>
    <w:rsid w:val="00253821"/>
    <w:rsid w:val="00260162"/>
    <w:rsid w:val="0026023B"/>
    <w:rsid w:val="00260308"/>
    <w:rsid w:val="00260B56"/>
    <w:rsid w:val="002610D4"/>
    <w:rsid w:val="002629E5"/>
    <w:rsid w:val="00265B0F"/>
    <w:rsid w:val="00270010"/>
    <w:rsid w:val="0027158D"/>
    <w:rsid w:val="00271835"/>
    <w:rsid w:val="00271952"/>
    <w:rsid w:val="00271BFD"/>
    <w:rsid w:val="00273084"/>
    <w:rsid w:val="0027308C"/>
    <w:rsid w:val="002738F9"/>
    <w:rsid w:val="00273B89"/>
    <w:rsid w:val="00274B1A"/>
    <w:rsid w:val="00276A3E"/>
    <w:rsid w:val="00276E1F"/>
    <w:rsid w:val="0027784B"/>
    <w:rsid w:val="00277BA5"/>
    <w:rsid w:val="0028099F"/>
    <w:rsid w:val="00280E34"/>
    <w:rsid w:val="00280F65"/>
    <w:rsid w:val="002814B3"/>
    <w:rsid w:val="002816E7"/>
    <w:rsid w:val="00282B8D"/>
    <w:rsid w:val="002830DA"/>
    <w:rsid w:val="00283534"/>
    <w:rsid w:val="00283641"/>
    <w:rsid w:val="00285264"/>
    <w:rsid w:val="00285C4B"/>
    <w:rsid w:val="00285C5F"/>
    <w:rsid w:val="0028784F"/>
    <w:rsid w:val="00291EBF"/>
    <w:rsid w:val="00292253"/>
    <w:rsid w:val="00293835"/>
    <w:rsid w:val="00293C97"/>
    <w:rsid w:val="00295777"/>
    <w:rsid w:val="00295800"/>
    <w:rsid w:val="00295ABB"/>
    <w:rsid w:val="00295C0F"/>
    <w:rsid w:val="0029761F"/>
    <w:rsid w:val="002977AE"/>
    <w:rsid w:val="00297A2F"/>
    <w:rsid w:val="002A01AA"/>
    <w:rsid w:val="002A0CA5"/>
    <w:rsid w:val="002A1904"/>
    <w:rsid w:val="002A2683"/>
    <w:rsid w:val="002A3C30"/>
    <w:rsid w:val="002A4029"/>
    <w:rsid w:val="002A43F1"/>
    <w:rsid w:val="002A59CE"/>
    <w:rsid w:val="002A5C14"/>
    <w:rsid w:val="002A686B"/>
    <w:rsid w:val="002B14CE"/>
    <w:rsid w:val="002B32D7"/>
    <w:rsid w:val="002B38FA"/>
    <w:rsid w:val="002B6717"/>
    <w:rsid w:val="002B68CF"/>
    <w:rsid w:val="002B6A4F"/>
    <w:rsid w:val="002C01FE"/>
    <w:rsid w:val="002C034A"/>
    <w:rsid w:val="002C1B52"/>
    <w:rsid w:val="002C1DC6"/>
    <w:rsid w:val="002C2B5E"/>
    <w:rsid w:val="002C35D0"/>
    <w:rsid w:val="002C36EC"/>
    <w:rsid w:val="002C4883"/>
    <w:rsid w:val="002C587D"/>
    <w:rsid w:val="002C6B90"/>
    <w:rsid w:val="002C72AC"/>
    <w:rsid w:val="002C74B1"/>
    <w:rsid w:val="002C7612"/>
    <w:rsid w:val="002D1781"/>
    <w:rsid w:val="002D1C53"/>
    <w:rsid w:val="002D2C24"/>
    <w:rsid w:val="002D3019"/>
    <w:rsid w:val="002D420C"/>
    <w:rsid w:val="002D47C3"/>
    <w:rsid w:val="002D585D"/>
    <w:rsid w:val="002D5B64"/>
    <w:rsid w:val="002D6ECA"/>
    <w:rsid w:val="002D7141"/>
    <w:rsid w:val="002D7778"/>
    <w:rsid w:val="002D7E56"/>
    <w:rsid w:val="002E0BDD"/>
    <w:rsid w:val="002E1771"/>
    <w:rsid w:val="002E26D9"/>
    <w:rsid w:val="002E37A3"/>
    <w:rsid w:val="002E47B2"/>
    <w:rsid w:val="002E54D0"/>
    <w:rsid w:val="002E5D97"/>
    <w:rsid w:val="002E63D8"/>
    <w:rsid w:val="002E6ADB"/>
    <w:rsid w:val="002E797D"/>
    <w:rsid w:val="002F0398"/>
    <w:rsid w:val="002F0B4A"/>
    <w:rsid w:val="002F1509"/>
    <w:rsid w:val="002F215A"/>
    <w:rsid w:val="002F2B35"/>
    <w:rsid w:val="002F2C91"/>
    <w:rsid w:val="002F3F1E"/>
    <w:rsid w:val="002F428C"/>
    <w:rsid w:val="002F5A1A"/>
    <w:rsid w:val="002F5E7F"/>
    <w:rsid w:val="002F6C07"/>
    <w:rsid w:val="002F77CB"/>
    <w:rsid w:val="002F7B37"/>
    <w:rsid w:val="003000F3"/>
    <w:rsid w:val="00300582"/>
    <w:rsid w:val="0030058A"/>
    <w:rsid w:val="00301314"/>
    <w:rsid w:val="00301ED0"/>
    <w:rsid w:val="00303182"/>
    <w:rsid w:val="0030468A"/>
    <w:rsid w:val="00304E8A"/>
    <w:rsid w:val="00305124"/>
    <w:rsid w:val="00305149"/>
    <w:rsid w:val="003059BB"/>
    <w:rsid w:val="00306F53"/>
    <w:rsid w:val="00310409"/>
    <w:rsid w:val="0031087B"/>
    <w:rsid w:val="00310A60"/>
    <w:rsid w:val="00311DE1"/>
    <w:rsid w:val="003129C5"/>
    <w:rsid w:val="00312D3C"/>
    <w:rsid w:val="0031391C"/>
    <w:rsid w:val="00314245"/>
    <w:rsid w:val="0031475B"/>
    <w:rsid w:val="003155FC"/>
    <w:rsid w:val="00315C2B"/>
    <w:rsid w:val="00316167"/>
    <w:rsid w:val="003165E4"/>
    <w:rsid w:val="0032109E"/>
    <w:rsid w:val="003221B5"/>
    <w:rsid w:val="00323216"/>
    <w:rsid w:val="003235FC"/>
    <w:rsid w:val="00323878"/>
    <w:rsid w:val="00323E14"/>
    <w:rsid w:val="00324409"/>
    <w:rsid w:val="003248DD"/>
    <w:rsid w:val="00325DD7"/>
    <w:rsid w:val="0032684A"/>
    <w:rsid w:val="0032732E"/>
    <w:rsid w:val="003274A7"/>
    <w:rsid w:val="0033043B"/>
    <w:rsid w:val="0033044A"/>
    <w:rsid w:val="00330C5F"/>
    <w:rsid w:val="0033132F"/>
    <w:rsid w:val="00331793"/>
    <w:rsid w:val="003325BB"/>
    <w:rsid w:val="00333037"/>
    <w:rsid w:val="0033528F"/>
    <w:rsid w:val="00335340"/>
    <w:rsid w:val="00337008"/>
    <w:rsid w:val="00337618"/>
    <w:rsid w:val="00340BBB"/>
    <w:rsid w:val="00344046"/>
    <w:rsid w:val="003449A3"/>
    <w:rsid w:val="00344D82"/>
    <w:rsid w:val="00344E3F"/>
    <w:rsid w:val="00345319"/>
    <w:rsid w:val="00345B2B"/>
    <w:rsid w:val="00345B96"/>
    <w:rsid w:val="0034728D"/>
    <w:rsid w:val="00347C72"/>
    <w:rsid w:val="00350469"/>
    <w:rsid w:val="00351008"/>
    <w:rsid w:val="00352103"/>
    <w:rsid w:val="003524CB"/>
    <w:rsid w:val="0035256E"/>
    <w:rsid w:val="003536EF"/>
    <w:rsid w:val="00355410"/>
    <w:rsid w:val="0035589E"/>
    <w:rsid w:val="00355A42"/>
    <w:rsid w:val="00356390"/>
    <w:rsid w:val="0035771C"/>
    <w:rsid w:val="00357A6D"/>
    <w:rsid w:val="00360513"/>
    <w:rsid w:val="00360890"/>
    <w:rsid w:val="00360998"/>
    <w:rsid w:val="003645F9"/>
    <w:rsid w:val="00364E24"/>
    <w:rsid w:val="00365633"/>
    <w:rsid w:val="003658E2"/>
    <w:rsid w:val="00366199"/>
    <w:rsid w:val="00367A61"/>
    <w:rsid w:val="00367F60"/>
    <w:rsid w:val="003702C4"/>
    <w:rsid w:val="003721FF"/>
    <w:rsid w:val="0037233E"/>
    <w:rsid w:val="003732D1"/>
    <w:rsid w:val="00374BA1"/>
    <w:rsid w:val="003753D2"/>
    <w:rsid w:val="00375E1C"/>
    <w:rsid w:val="00375EA0"/>
    <w:rsid w:val="003768AF"/>
    <w:rsid w:val="00376A28"/>
    <w:rsid w:val="003802D7"/>
    <w:rsid w:val="00380678"/>
    <w:rsid w:val="003809A3"/>
    <w:rsid w:val="00380A8F"/>
    <w:rsid w:val="00380FAD"/>
    <w:rsid w:val="00381CFD"/>
    <w:rsid w:val="003822A4"/>
    <w:rsid w:val="00383393"/>
    <w:rsid w:val="0038339A"/>
    <w:rsid w:val="00384EAA"/>
    <w:rsid w:val="00385E35"/>
    <w:rsid w:val="00386865"/>
    <w:rsid w:val="00386C62"/>
    <w:rsid w:val="00387899"/>
    <w:rsid w:val="00387E8F"/>
    <w:rsid w:val="003907B4"/>
    <w:rsid w:val="0039145F"/>
    <w:rsid w:val="003919F9"/>
    <w:rsid w:val="00391AB8"/>
    <w:rsid w:val="00392FC8"/>
    <w:rsid w:val="00394C5C"/>
    <w:rsid w:val="00396102"/>
    <w:rsid w:val="00397912"/>
    <w:rsid w:val="003979C7"/>
    <w:rsid w:val="00397E82"/>
    <w:rsid w:val="003A061D"/>
    <w:rsid w:val="003A0A84"/>
    <w:rsid w:val="003A0B68"/>
    <w:rsid w:val="003A1501"/>
    <w:rsid w:val="003A1562"/>
    <w:rsid w:val="003A17E0"/>
    <w:rsid w:val="003A184C"/>
    <w:rsid w:val="003A25DD"/>
    <w:rsid w:val="003A4636"/>
    <w:rsid w:val="003A4B51"/>
    <w:rsid w:val="003A4ED0"/>
    <w:rsid w:val="003A4F84"/>
    <w:rsid w:val="003A504C"/>
    <w:rsid w:val="003A519F"/>
    <w:rsid w:val="003A55FF"/>
    <w:rsid w:val="003A6A90"/>
    <w:rsid w:val="003A6C84"/>
    <w:rsid w:val="003A7B07"/>
    <w:rsid w:val="003A7EE7"/>
    <w:rsid w:val="003B046F"/>
    <w:rsid w:val="003B0986"/>
    <w:rsid w:val="003B0B0D"/>
    <w:rsid w:val="003B13B0"/>
    <w:rsid w:val="003B1EB9"/>
    <w:rsid w:val="003B234E"/>
    <w:rsid w:val="003B3AE5"/>
    <w:rsid w:val="003B3EA5"/>
    <w:rsid w:val="003B49CD"/>
    <w:rsid w:val="003B4B69"/>
    <w:rsid w:val="003B4FEF"/>
    <w:rsid w:val="003B5A44"/>
    <w:rsid w:val="003B760B"/>
    <w:rsid w:val="003B7BBB"/>
    <w:rsid w:val="003C0CF2"/>
    <w:rsid w:val="003C3497"/>
    <w:rsid w:val="003C356D"/>
    <w:rsid w:val="003C4007"/>
    <w:rsid w:val="003C4159"/>
    <w:rsid w:val="003C4906"/>
    <w:rsid w:val="003C4BCF"/>
    <w:rsid w:val="003C71F1"/>
    <w:rsid w:val="003C740B"/>
    <w:rsid w:val="003D0340"/>
    <w:rsid w:val="003D05C6"/>
    <w:rsid w:val="003D1F37"/>
    <w:rsid w:val="003D41BC"/>
    <w:rsid w:val="003D4C51"/>
    <w:rsid w:val="003D5DA1"/>
    <w:rsid w:val="003D63D2"/>
    <w:rsid w:val="003D72FA"/>
    <w:rsid w:val="003D793C"/>
    <w:rsid w:val="003D798F"/>
    <w:rsid w:val="003E1B95"/>
    <w:rsid w:val="003E1CBD"/>
    <w:rsid w:val="003E1D11"/>
    <w:rsid w:val="003E1E87"/>
    <w:rsid w:val="003E3281"/>
    <w:rsid w:val="003E33BF"/>
    <w:rsid w:val="003E35AC"/>
    <w:rsid w:val="003E369D"/>
    <w:rsid w:val="003E43DF"/>
    <w:rsid w:val="003E4D4C"/>
    <w:rsid w:val="003E4FDC"/>
    <w:rsid w:val="003E5E68"/>
    <w:rsid w:val="003E74AE"/>
    <w:rsid w:val="003F0E63"/>
    <w:rsid w:val="003F1C65"/>
    <w:rsid w:val="003F29D2"/>
    <w:rsid w:val="003F2A1C"/>
    <w:rsid w:val="003F2BDB"/>
    <w:rsid w:val="003F3162"/>
    <w:rsid w:val="003F3646"/>
    <w:rsid w:val="003F3FF2"/>
    <w:rsid w:val="003F4033"/>
    <w:rsid w:val="003F4DD4"/>
    <w:rsid w:val="004006A7"/>
    <w:rsid w:val="00400E24"/>
    <w:rsid w:val="00401AD2"/>
    <w:rsid w:val="00402428"/>
    <w:rsid w:val="00402D87"/>
    <w:rsid w:val="004030B7"/>
    <w:rsid w:val="00403E12"/>
    <w:rsid w:val="004040C0"/>
    <w:rsid w:val="00404C8C"/>
    <w:rsid w:val="004059DD"/>
    <w:rsid w:val="00405C62"/>
    <w:rsid w:val="004069B4"/>
    <w:rsid w:val="004119A4"/>
    <w:rsid w:val="00412144"/>
    <w:rsid w:val="00412DD5"/>
    <w:rsid w:val="0041406A"/>
    <w:rsid w:val="00414E97"/>
    <w:rsid w:val="00415122"/>
    <w:rsid w:val="0041641D"/>
    <w:rsid w:val="004169D1"/>
    <w:rsid w:val="0041758C"/>
    <w:rsid w:val="00417DD3"/>
    <w:rsid w:val="004201A9"/>
    <w:rsid w:val="00420AC5"/>
    <w:rsid w:val="00420CBC"/>
    <w:rsid w:val="004218EF"/>
    <w:rsid w:val="004220CF"/>
    <w:rsid w:val="00422750"/>
    <w:rsid w:val="00422D39"/>
    <w:rsid w:val="00423FFD"/>
    <w:rsid w:val="00424397"/>
    <w:rsid w:val="00424410"/>
    <w:rsid w:val="004266A0"/>
    <w:rsid w:val="00427552"/>
    <w:rsid w:val="0042771A"/>
    <w:rsid w:val="00427A6D"/>
    <w:rsid w:val="00430344"/>
    <w:rsid w:val="00430F4D"/>
    <w:rsid w:val="00431B02"/>
    <w:rsid w:val="00431FE8"/>
    <w:rsid w:val="004333C2"/>
    <w:rsid w:val="00436281"/>
    <w:rsid w:val="00437259"/>
    <w:rsid w:val="0043729D"/>
    <w:rsid w:val="00440BEF"/>
    <w:rsid w:val="00440FC7"/>
    <w:rsid w:val="0044107E"/>
    <w:rsid w:val="00441748"/>
    <w:rsid w:val="00442F02"/>
    <w:rsid w:val="0044376A"/>
    <w:rsid w:val="00443B75"/>
    <w:rsid w:val="00443BE7"/>
    <w:rsid w:val="00443FED"/>
    <w:rsid w:val="0044573D"/>
    <w:rsid w:val="004457C5"/>
    <w:rsid w:val="00445CCD"/>
    <w:rsid w:val="004464F1"/>
    <w:rsid w:val="004465ED"/>
    <w:rsid w:val="00446D33"/>
    <w:rsid w:val="00446EFB"/>
    <w:rsid w:val="004470D3"/>
    <w:rsid w:val="004471DE"/>
    <w:rsid w:val="004479C9"/>
    <w:rsid w:val="00450252"/>
    <w:rsid w:val="0045031D"/>
    <w:rsid w:val="00450690"/>
    <w:rsid w:val="00450883"/>
    <w:rsid w:val="00453F7B"/>
    <w:rsid w:val="00454120"/>
    <w:rsid w:val="004545D1"/>
    <w:rsid w:val="00454A58"/>
    <w:rsid w:val="00455D02"/>
    <w:rsid w:val="004567D8"/>
    <w:rsid w:val="004575F6"/>
    <w:rsid w:val="00460EC3"/>
    <w:rsid w:val="00460F7E"/>
    <w:rsid w:val="004617A3"/>
    <w:rsid w:val="00462694"/>
    <w:rsid w:val="00462880"/>
    <w:rsid w:val="00462A23"/>
    <w:rsid w:val="00463A69"/>
    <w:rsid w:val="00463BD1"/>
    <w:rsid w:val="004650BC"/>
    <w:rsid w:val="00465347"/>
    <w:rsid w:val="0046620F"/>
    <w:rsid w:val="00466926"/>
    <w:rsid w:val="004672DB"/>
    <w:rsid w:val="004672FD"/>
    <w:rsid w:val="0046774E"/>
    <w:rsid w:val="00467A7D"/>
    <w:rsid w:val="004706F5"/>
    <w:rsid w:val="00470D78"/>
    <w:rsid w:val="004713BC"/>
    <w:rsid w:val="004723B7"/>
    <w:rsid w:val="00472DB5"/>
    <w:rsid w:val="004732D5"/>
    <w:rsid w:val="0047459D"/>
    <w:rsid w:val="00475194"/>
    <w:rsid w:val="00475B28"/>
    <w:rsid w:val="00475E4B"/>
    <w:rsid w:val="0047608A"/>
    <w:rsid w:val="0047622B"/>
    <w:rsid w:val="0047636C"/>
    <w:rsid w:val="00476758"/>
    <w:rsid w:val="0047737E"/>
    <w:rsid w:val="00477868"/>
    <w:rsid w:val="00480195"/>
    <w:rsid w:val="00480392"/>
    <w:rsid w:val="004809F0"/>
    <w:rsid w:val="00481213"/>
    <w:rsid w:val="00482002"/>
    <w:rsid w:val="004832DA"/>
    <w:rsid w:val="00483C66"/>
    <w:rsid w:val="00484767"/>
    <w:rsid w:val="00485575"/>
    <w:rsid w:val="004860AA"/>
    <w:rsid w:val="00486B00"/>
    <w:rsid w:val="00487339"/>
    <w:rsid w:val="004879CE"/>
    <w:rsid w:val="00490236"/>
    <w:rsid w:val="00490791"/>
    <w:rsid w:val="0049173E"/>
    <w:rsid w:val="004923F8"/>
    <w:rsid w:val="00492E8E"/>
    <w:rsid w:val="0049338B"/>
    <w:rsid w:val="00494E29"/>
    <w:rsid w:val="004965C7"/>
    <w:rsid w:val="00497588"/>
    <w:rsid w:val="004A02F1"/>
    <w:rsid w:val="004A0B6E"/>
    <w:rsid w:val="004A0EED"/>
    <w:rsid w:val="004A12A6"/>
    <w:rsid w:val="004A173B"/>
    <w:rsid w:val="004A33F3"/>
    <w:rsid w:val="004A424A"/>
    <w:rsid w:val="004A62A8"/>
    <w:rsid w:val="004A70E2"/>
    <w:rsid w:val="004A7635"/>
    <w:rsid w:val="004B0B6F"/>
    <w:rsid w:val="004B16DC"/>
    <w:rsid w:val="004B25AC"/>
    <w:rsid w:val="004B3393"/>
    <w:rsid w:val="004B37D4"/>
    <w:rsid w:val="004B4253"/>
    <w:rsid w:val="004B443B"/>
    <w:rsid w:val="004B536C"/>
    <w:rsid w:val="004B6E03"/>
    <w:rsid w:val="004B6F6F"/>
    <w:rsid w:val="004C0E92"/>
    <w:rsid w:val="004C29A5"/>
    <w:rsid w:val="004C2D24"/>
    <w:rsid w:val="004C3792"/>
    <w:rsid w:val="004C3E94"/>
    <w:rsid w:val="004C450E"/>
    <w:rsid w:val="004C4B58"/>
    <w:rsid w:val="004C6916"/>
    <w:rsid w:val="004C71AC"/>
    <w:rsid w:val="004C77A4"/>
    <w:rsid w:val="004C786A"/>
    <w:rsid w:val="004D1B77"/>
    <w:rsid w:val="004D2970"/>
    <w:rsid w:val="004D32AB"/>
    <w:rsid w:val="004D3B95"/>
    <w:rsid w:val="004D4CE9"/>
    <w:rsid w:val="004D5F35"/>
    <w:rsid w:val="004D7025"/>
    <w:rsid w:val="004D7F49"/>
    <w:rsid w:val="004E0716"/>
    <w:rsid w:val="004E0BA4"/>
    <w:rsid w:val="004E1390"/>
    <w:rsid w:val="004E1AAA"/>
    <w:rsid w:val="004E225A"/>
    <w:rsid w:val="004E2526"/>
    <w:rsid w:val="004E2CCF"/>
    <w:rsid w:val="004E3319"/>
    <w:rsid w:val="004E35B2"/>
    <w:rsid w:val="004E3907"/>
    <w:rsid w:val="004E4C98"/>
    <w:rsid w:val="004E4D62"/>
    <w:rsid w:val="004E5DD7"/>
    <w:rsid w:val="004E631E"/>
    <w:rsid w:val="004E67C7"/>
    <w:rsid w:val="004F0149"/>
    <w:rsid w:val="004F0BD1"/>
    <w:rsid w:val="004F4A7D"/>
    <w:rsid w:val="004F4E0E"/>
    <w:rsid w:val="004F567D"/>
    <w:rsid w:val="004F5845"/>
    <w:rsid w:val="004F5912"/>
    <w:rsid w:val="004F61D1"/>
    <w:rsid w:val="004F624B"/>
    <w:rsid w:val="004F62A4"/>
    <w:rsid w:val="004F68E8"/>
    <w:rsid w:val="004F74B3"/>
    <w:rsid w:val="004F781F"/>
    <w:rsid w:val="00500362"/>
    <w:rsid w:val="005005AB"/>
    <w:rsid w:val="005019F3"/>
    <w:rsid w:val="0050209B"/>
    <w:rsid w:val="00503180"/>
    <w:rsid w:val="00503890"/>
    <w:rsid w:val="00503B13"/>
    <w:rsid w:val="00504434"/>
    <w:rsid w:val="00506AE5"/>
    <w:rsid w:val="00506BD2"/>
    <w:rsid w:val="005071E3"/>
    <w:rsid w:val="00510940"/>
    <w:rsid w:val="005109F0"/>
    <w:rsid w:val="00510DCB"/>
    <w:rsid w:val="0051112D"/>
    <w:rsid w:val="00511E9D"/>
    <w:rsid w:val="00515162"/>
    <w:rsid w:val="00516C9D"/>
    <w:rsid w:val="00520839"/>
    <w:rsid w:val="00520BE9"/>
    <w:rsid w:val="0052174A"/>
    <w:rsid w:val="00523257"/>
    <w:rsid w:val="005238D9"/>
    <w:rsid w:val="00523F73"/>
    <w:rsid w:val="0052535A"/>
    <w:rsid w:val="005261D1"/>
    <w:rsid w:val="00526A0B"/>
    <w:rsid w:val="00527EDC"/>
    <w:rsid w:val="00530BC2"/>
    <w:rsid w:val="0053116B"/>
    <w:rsid w:val="005317B8"/>
    <w:rsid w:val="0053374C"/>
    <w:rsid w:val="005346E4"/>
    <w:rsid w:val="0053486F"/>
    <w:rsid w:val="005349E9"/>
    <w:rsid w:val="00534FD4"/>
    <w:rsid w:val="00535B1B"/>
    <w:rsid w:val="0053704F"/>
    <w:rsid w:val="00537F6F"/>
    <w:rsid w:val="0054231E"/>
    <w:rsid w:val="00542DEA"/>
    <w:rsid w:val="0054391D"/>
    <w:rsid w:val="00544247"/>
    <w:rsid w:val="00544AF0"/>
    <w:rsid w:val="00546246"/>
    <w:rsid w:val="00550599"/>
    <w:rsid w:val="00550D8B"/>
    <w:rsid w:val="005511CD"/>
    <w:rsid w:val="00551608"/>
    <w:rsid w:val="00551901"/>
    <w:rsid w:val="005525BC"/>
    <w:rsid w:val="00552689"/>
    <w:rsid w:val="00552AC2"/>
    <w:rsid w:val="00553085"/>
    <w:rsid w:val="0055459F"/>
    <w:rsid w:val="00554A55"/>
    <w:rsid w:val="005561BA"/>
    <w:rsid w:val="00557625"/>
    <w:rsid w:val="00557DAF"/>
    <w:rsid w:val="005605AB"/>
    <w:rsid w:val="00560A6C"/>
    <w:rsid w:val="00561674"/>
    <w:rsid w:val="00561E52"/>
    <w:rsid w:val="00562397"/>
    <w:rsid w:val="00562547"/>
    <w:rsid w:val="005629DB"/>
    <w:rsid w:val="0056310F"/>
    <w:rsid w:val="00563C8F"/>
    <w:rsid w:val="005648FE"/>
    <w:rsid w:val="005655AC"/>
    <w:rsid w:val="005656D4"/>
    <w:rsid w:val="0056674A"/>
    <w:rsid w:val="00566E75"/>
    <w:rsid w:val="0056700E"/>
    <w:rsid w:val="0056714C"/>
    <w:rsid w:val="005674C2"/>
    <w:rsid w:val="005676B6"/>
    <w:rsid w:val="00567902"/>
    <w:rsid w:val="005703F8"/>
    <w:rsid w:val="0057042C"/>
    <w:rsid w:val="00572455"/>
    <w:rsid w:val="005736B7"/>
    <w:rsid w:val="00573F46"/>
    <w:rsid w:val="00574008"/>
    <w:rsid w:val="005754A4"/>
    <w:rsid w:val="005756EE"/>
    <w:rsid w:val="00575A1D"/>
    <w:rsid w:val="00575D83"/>
    <w:rsid w:val="00582FA6"/>
    <w:rsid w:val="00583114"/>
    <w:rsid w:val="00583AA0"/>
    <w:rsid w:val="00583D13"/>
    <w:rsid w:val="0058412B"/>
    <w:rsid w:val="00584C12"/>
    <w:rsid w:val="005851B3"/>
    <w:rsid w:val="00585F06"/>
    <w:rsid w:val="00587366"/>
    <w:rsid w:val="005876E8"/>
    <w:rsid w:val="00590E68"/>
    <w:rsid w:val="00591063"/>
    <w:rsid w:val="005926B6"/>
    <w:rsid w:val="00592E1C"/>
    <w:rsid w:val="0059379D"/>
    <w:rsid w:val="00593CB4"/>
    <w:rsid w:val="0059402D"/>
    <w:rsid w:val="00594AA9"/>
    <w:rsid w:val="0059620A"/>
    <w:rsid w:val="005971EC"/>
    <w:rsid w:val="00597824"/>
    <w:rsid w:val="00597FD4"/>
    <w:rsid w:val="005A008C"/>
    <w:rsid w:val="005A1378"/>
    <w:rsid w:val="005A1651"/>
    <w:rsid w:val="005A2110"/>
    <w:rsid w:val="005A2B8C"/>
    <w:rsid w:val="005A2FB2"/>
    <w:rsid w:val="005A44B2"/>
    <w:rsid w:val="005A45A9"/>
    <w:rsid w:val="005A4AEA"/>
    <w:rsid w:val="005A5EEC"/>
    <w:rsid w:val="005A72DA"/>
    <w:rsid w:val="005A753B"/>
    <w:rsid w:val="005B0B5F"/>
    <w:rsid w:val="005B208B"/>
    <w:rsid w:val="005B2178"/>
    <w:rsid w:val="005B243C"/>
    <w:rsid w:val="005B3195"/>
    <w:rsid w:val="005B3B07"/>
    <w:rsid w:val="005B3F15"/>
    <w:rsid w:val="005B4292"/>
    <w:rsid w:val="005B4CA5"/>
    <w:rsid w:val="005B694C"/>
    <w:rsid w:val="005B6A26"/>
    <w:rsid w:val="005B6A6A"/>
    <w:rsid w:val="005B7967"/>
    <w:rsid w:val="005C0865"/>
    <w:rsid w:val="005C1564"/>
    <w:rsid w:val="005C280E"/>
    <w:rsid w:val="005C2B16"/>
    <w:rsid w:val="005C2DD2"/>
    <w:rsid w:val="005C2F6A"/>
    <w:rsid w:val="005C3577"/>
    <w:rsid w:val="005C4094"/>
    <w:rsid w:val="005C6B38"/>
    <w:rsid w:val="005D0454"/>
    <w:rsid w:val="005D0AA7"/>
    <w:rsid w:val="005D19F7"/>
    <w:rsid w:val="005D1C46"/>
    <w:rsid w:val="005D38F0"/>
    <w:rsid w:val="005D414D"/>
    <w:rsid w:val="005D4D72"/>
    <w:rsid w:val="005D5C5E"/>
    <w:rsid w:val="005D5CF9"/>
    <w:rsid w:val="005D6960"/>
    <w:rsid w:val="005D6CDA"/>
    <w:rsid w:val="005D6DE8"/>
    <w:rsid w:val="005E0E33"/>
    <w:rsid w:val="005E0F72"/>
    <w:rsid w:val="005E1BC9"/>
    <w:rsid w:val="005E203B"/>
    <w:rsid w:val="005E217A"/>
    <w:rsid w:val="005E2A6A"/>
    <w:rsid w:val="005E2AC5"/>
    <w:rsid w:val="005E3334"/>
    <w:rsid w:val="005E3864"/>
    <w:rsid w:val="005E435D"/>
    <w:rsid w:val="005E508B"/>
    <w:rsid w:val="005E53D6"/>
    <w:rsid w:val="005E691F"/>
    <w:rsid w:val="005E6DC3"/>
    <w:rsid w:val="005E708D"/>
    <w:rsid w:val="005E76BA"/>
    <w:rsid w:val="005E777A"/>
    <w:rsid w:val="005E79D6"/>
    <w:rsid w:val="005F005D"/>
    <w:rsid w:val="005F075C"/>
    <w:rsid w:val="005F35FF"/>
    <w:rsid w:val="005F52D7"/>
    <w:rsid w:val="005F5500"/>
    <w:rsid w:val="005F57FD"/>
    <w:rsid w:val="005F5DF7"/>
    <w:rsid w:val="005F63B8"/>
    <w:rsid w:val="005F72CB"/>
    <w:rsid w:val="00601727"/>
    <w:rsid w:val="00601C82"/>
    <w:rsid w:val="00602173"/>
    <w:rsid w:val="00602531"/>
    <w:rsid w:val="006034C2"/>
    <w:rsid w:val="00603D71"/>
    <w:rsid w:val="006043DC"/>
    <w:rsid w:val="006053F0"/>
    <w:rsid w:val="00606229"/>
    <w:rsid w:val="00606B2C"/>
    <w:rsid w:val="0060714A"/>
    <w:rsid w:val="006074AF"/>
    <w:rsid w:val="00607929"/>
    <w:rsid w:val="006101DA"/>
    <w:rsid w:val="00610687"/>
    <w:rsid w:val="00610D52"/>
    <w:rsid w:val="006137F1"/>
    <w:rsid w:val="00613ECC"/>
    <w:rsid w:val="00614D0E"/>
    <w:rsid w:val="00615CAA"/>
    <w:rsid w:val="0061741E"/>
    <w:rsid w:val="00617AB3"/>
    <w:rsid w:val="00621358"/>
    <w:rsid w:val="006213C7"/>
    <w:rsid w:val="00623494"/>
    <w:rsid w:val="006250DE"/>
    <w:rsid w:val="00625947"/>
    <w:rsid w:val="00625B20"/>
    <w:rsid w:val="00626742"/>
    <w:rsid w:val="00626B11"/>
    <w:rsid w:val="00627118"/>
    <w:rsid w:val="00627A10"/>
    <w:rsid w:val="0063028B"/>
    <w:rsid w:val="00630945"/>
    <w:rsid w:val="006310AD"/>
    <w:rsid w:val="00632AB3"/>
    <w:rsid w:val="00633D32"/>
    <w:rsid w:val="00635163"/>
    <w:rsid w:val="006352EF"/>
    <w:rsid w:val="006368AE"/>
    <w:rsid w:val="00637D94"/>
    <w:rsid w:val="006401B6"/>
    <w:rsid w:val="006417C3"/>
    <w:rsid w:val="00641852"/>
    <w:rsid w:val="00641BF3"/>
    <w:rsid w:val="00641DA0"/>
    <w:rsid w:val="006428E8"/>
    <w:rsid w:val="00642E25"/>
    <w:rsid w:val="006433A1"/>
    <w:rsid w:val="00643C0C"/>
    <w:rsid w:val="00645330"/>
    <w:rsid w:val="006460F0"/>
    <w:rsid w:val="00646576"/>
    <w:rsid w:val="00647332"/>
    <w:rsid w:val="00647648"/>
    <w:rsid w:val="00647A1B"/>
    <w:rsid w:val="00651D1A"/>
    <w:rsid w:val="00652682"/>
    <w:rsid w:val="00652D6A"/>
    <w:rsid w:val="00653908"/>
    <w:rsid w:val="006540C1"/>
    <w:rsid w:val="00654F93"/>
    <w:rsid w:val="00655374"/>
    <w:rsid w:val="0065563A"/>
    <w:rsid w:val="00655D02"/>
    <w:rsid w:val="0065660D"/>
    <w:rsid w:val="0065698F"/>
    <w:rsid w:val="00656E22"/>
    <w:rsid w:val="006573A7"/>
    <w:rsid w:val="006574EC"/>
    <w:rsid w:val="00657821"/>
    <w:rsid w:val="00657950"/>
    <w:rsid w:val="00657C64"/>
    <w:rsid w:val="00660070"/>
    <w:rsid w:val="00660309"/>
    <w:rsid w:val="00660C81"/>
    <w:rsid w:val="00661C9D"/>
    <w:rsid w:val="0066384C"/>
    <w:rsid w:val="006656DE"/>
    <w:rsid w:val="006665BA"/>
    <w:rsid w:val="00667156"/>
    <w:rsid w:val="00667308"/>
    <w:rsid w:val="006675F6"/>
    <w:rsid w:val="006677AF"/>
    <w:rsid w:val="00670383"/>
    <w:rsid w:val="00671485"/>
    <w:rsid w:val="00671814"/>
    <w:rsid w:val="00671833"/>
    <w:rsid w:val="00672A58"/>
    <w:rsid w:val="006730F8"/>
    <w:rsid w:val="00673433"/>
    <w:rsid w:val="006742FC"/>
    <w:rsid w:val="00674C45"/>
    <w:rsid w:val="00675D55"/>
    <w:rsid w:val="00676233"/>
    <w:rsid w:val="006765B5"/>
    <w:rsid w:val="00676F0D"/>
    <w:rsid w:val="00677F59"/>
    <w:rsid w:val="00680FCA"/>
    <w:rsid w:val="00681829"/>
    <w:rsid w:val="00681CBE"/>
    <w:rsid w:val="006820D2"/>
    <w:rsid w:val="0068253D"/>
    <w:rsid w:val="006827FB"/>
    <w:rsid w:val="0068338B"/>
    <w:rsid w:val="00683CE4"/>
    <w:rsid w:val="00685E39"/>
    <w:rsid w:val="00686AB1"/>
    <w:rsid w:val="00687B4B"/>
    <w:rsid w:val="00687E44"/>
    <w:rsid w:val="00690B42"/>
    <w:rsid w:val="0069106D"/>
    <w:rsid w:val="00692C4B"/>
    <w:rsid w:val="00692EBC"/>
    <w:rsid w:val="006930EC"/>
    <w:rsid w:val="00693EBD"/>
    <w:rsid w:val="0069572E"/>
    <w:rsid w:val="00696A34"/>
    <w:rsid w:val="0069710D"/>
    <w:rsid w:val="00697460"/>
    <w:rsid w:val="00697EB4"/>
    <w:rsid w:val="00697F8A"/>
    <w:rsid w:val="006A0EA3"/>
    <w:rsid w:val="006A16A8"/>
    <w:rsid w:val="006A30C9"/>
    <w:rsid w:val="006A3215"/>
    <w:rsid w:val="006A3A67"/>
    <w:rsid w:val="006A3CC6"/>
    <w:rsid w:val="006A406B"/>
    <w:rsid w:val="006A4735"/>
    <w:rsid w:val="006A4A6F"/>
    <w:rsid w:val="006A5E7E"/>
    <w:rsid w:val="006A603F"/>
    <w:rsid w:val="006A7992"/>
    <w:rsid w:val="006B019F"/>
    <w:rsid w:val="006B0B24"/>
    <w:rsid w:val="006B0D7A"/>
    <w:rsid w:val="006B0EBB"/>
    <w:rsid w:val="006B159C"/>
    <w:rsid w:val="006B1960"/>
    <w:rsid w:val="006B2064"/>
    <w:rsid w:val="006B2958"/>
    <w:rsid w:val="006B2A83"/>
    <w:rsid w:val="006B3645"/>
    <w:rsid w:val="006B3B44"/>
    <w:rsid w:val="006B3EC9"/>
    <w:rsid w:val="006B3F4E"/>
    <w:rsid w:val="006B4856"/>
    <w:rsid w:val="006B6177"/>
    <w:rsid w:val="006B6F2E"/>
    <w:rsid w:val="006B7E80"/>
    <w:rsid w:val="006C0054"/>
    <w:rsid w:val="006C14F7"/>
    <w:rsid w:val="006C1F99"/>
    <w:rsid w:val="006C2CF1"/>
    <w:rsid w:val="006C3341"/>
    <w:rsid w:val="006C374F"/>
    <w:rsid w:val="006C469E"/>
    <w:rsid w:val="006C4978"/>
    <w:rsid w:val="006C67BB"/>
    <w:rsid w:val="006C7367"/>
    <w:rsid w:val="006D0160"/>
    <w:rsid w:val="006D1834"/>
    <w:rsid w:val="006D2556"/>
    <w:rsid w:val="006D3321"/>
    <w:rsid w:val="006D3353"/>
    <w:rsid w:val="006D3AB9"/>
    <w:rsid w:val="006D3C4B"/>
    <w:rsid w:val="006D4232"/>
    <w:rsid w:val="006D485D"/>
    <w:rsid w:val="006D78C4"/>
    <w:rsid w:val="006D7947"/>
    <w:rsid w:val="006E1314"/>
    <w:rsid w:val="006E2261"/>
    <w:rsid w:val="006E2A44"/>
    <w:rsid w:val="006E3DE4"/>
    <w:rsid w:val="006E4099"/>
    <w:rsid w:val="006E4C28"/>
    <w:rsid w:val="006E69F2"/>
    <w:rsid w:val="006E6EAC"/>
    <w:rsid w:val="006E6EFB"/>
    <w:rsid w:val="006E7C35"/>
    <w:rsid w:val="006F078D"/>
    <w:rsid w:val="006F1735"/>
    <w:rsid w:val="006F1EA6"/>
    <w:rsid w:val="006F219F"/>
    <w:rsid w:val="006F2967"/>
    <w:rsid w:val="006F3380"/>
    <w:rsid w:val="006F4474"/>
    <w:rsid w:val="006F57EB"/>
    <w:rsid w:val="006F5EDA"/>
    <w:rsid w:val="006F64D7"/>
    <w:rsid w:val="006F6577"/>
    <w:rsid w:val="006F6F7E"/>
    <w:rsid w:val="006F70FD"/>
    <w:rsid w:val="006F7978"/>
    <w:rsid w:val="006F7A87"/>
    <w:rsid w:val="0070066B"/>
    <w:rsid w:val="00700D91"/>
    <w:rsid w:val="00701070"/>
    <w:rsid w:val="00702C87"/>
    <w:rsid w:val="00703048"/>
    <w:rsid w:val="0070506F"/>
    <w:rsid w:val="007052B0"/>
    <w:rsid w:val="007053CA"/>
    <w:rsid w:val="00705D5B"/>
    <w:rsid w:val="007075BD"/>
    <w:rsid w:val="00710CDB"/>
    <w:rsid w:val="00711C52"/>
    <w:rsid w:val="0071262E"/>
    <w:rsid w:val="007137BF"/>
    <w:rsid w:val="00713D66"/>
    <w:rsid w:val="00714159"/>
    <w:rsid w:val="007150D3"/>
    <w:rsid w:val="007150E2"/>
    <w:rsid w:val="00715945"/>
    <w:rsid w:val="00716C9B"/>
    <w:rsid w:val="0071797E"/>
    <w:rsid w:val="0072086B"/>
    <w:rsid w:val="00721558"/>
    <w:rsid w:val="00721D09"/>
    <w:rsid w:val="00723544"/>
    <w:rsid w:val="00725ADC"/>
    <w:rsid w:val="00725EF1"/>
    <w:rsid w:val="0072633D"/>
    <w:rsid w:val="00727CF6"/>
    <w:rsid w:val="00730ECE"/>
    <w:rsid w:val="00731250"/>
    <w:rsid w:val="00731FF9"/>
    <w:rsid w:val="0073214B"/>
    <w:rsid w:val="0073252F"/>
    <w:rsid w:val="00732AE1"/>
    <w:rsid w:val="0073372E"/>
    <w:rsid w:val="00733E0B"/>
    <w:rsid w:val="0073499C"/>
    <w:rsid w:val="00734BE4"/>
    <w:rsid w:val="00734D30"/>
    <w:rsid w:val="00735901"/>
    <w:rsid w:val="00735918"/>
    <w:rsid w:val="00736653"/>
    <w:rsid w:val="00736D11"/>
    <w:rsid w:val="0073790C"/>
    <w:rsid w:val="007405FA"/>
    <w:rsid w:val="007407C2"/>
    <w:rsid w:val="00740B01"/>
    <w:rsid w:val="00740F5B"/>
    <w:rsid w:val="00742C1A"/>
    <w:rsid w:val="00743A9C"/>
    <w:rsid w:val="007441F5"/>
    <w:rsid w:val="007441FD"/>
    <w:rsid w:val="00744240"/>
    <w:rsid w:val="00745064"/>
    <w:rsid w:val="00746A87"/>
    <w:rsid w:val="00751DE6"/>
    <w:rsid w:val="00752DDE"/>
    <w:rsid w:val="00752EEB"/>
    <w:rsid w:val="0075588A"/>
    <w:rsid w:val="00755EBC"/>
    <w:rsid w:val="007610D6"/>
    <w:rsid w:val="00761765"/>
    <w:rsid w:val="00762448"/>
    <w:rsid w:val="00762B39"/>
    <w:rsid w:val="007634F4"/>
    <w:rsid w:val="007634FC"/>
    <w:rsid w:val="00764306"/>
    <w:rsid w:val="00764518"/>
    <w:rsid w:val="0076681F"/>
    <w:rsid w:val="0076692E"/>
    <w:rsid w:val="00766D97"/>
    <w:rsid w:val="00766F68"/>
    <w:rsid w:val="00767D19"/>
    <w:rsid w:val="007701C7"/>
    <w:rsid w:val="00770FE9"/>
    <w:rsid w:val="00771326"/>
    <w:rsid w:val="00771FFE"/>
    <w:rsid w:val="00772E30"/>
    <w:rsid w:val="0077530B"/>
    <w:rsid w:val="00777CB9"/>
    <w:rsid w:val="007801A7"/>
    <w:rsid w:val="00781216"/>
    <w:rsid w:val="00781966"/>
    <w:rsid w:val="007819B1"/>
    <w:rsid w:val="00781D65"/>
    <w:rsid w:val="00782547"/>
    <w:rsid w:val="00782864"/>
    <w:rsid w:val="00783EDA"/>
    <w:rsid w:val="00784FA3"/>
    <w:rsid w:val="00785035"/>
    <w:rsid w:val="0078510B"/>
    <w:rsid w:val="00785ABD"/>
    <w:rsid w:val="00786787"/>
    <w:rsid w:val="00786C7E"/>
    <w:rsid w:val="00790BDD"/>
    <w:rsid w:val="00792737"/>
    <w:rsid w:val="00793036"/>
    <w:rsid w:val="00793E98"/>
    <w:rsid w:val="007946E6"/>
    <w:rsid w:val="00794B95"/>
    <w:rsid w:val="00795068"/>
    <w:rsid w:val="007966BE"/>
    <w:rsid w:val="007970E2"/>
    <w:rsid w:val="0079719F"/>
    <w:rsid w:val="007976EC"/>
    <w:rsid w:val="007979A7"/>
    <w:rsid w:val="00797FCD"/>
    <w:rsid w:val="007A017B"/>
    <w:rsid w:val="007A01E2"/>
    <w:rsid w:val="007A05E4"/>
    <w:rsid w:val="007A07E8"/>
    <w:rsid w:val="007A0D4C"/>
    <w:rsid w:val="007A21B6"/>
    <w:rsid w:val="007A250F"/>
    <w:rsid w:val="007A2C7A"/>
    <w:rsid w:val="007A2E41"/>
    <w:rsid w:val="007A3759"/>
    <w:rsid w:val="007A39A1"/>
    <w:rsid w:val="007A4C26"/>
    <w:rsid w:val="007A5226"/>
    <w:rsid w:val="007A542D"/>
    <w:rsid w:val="007A66BC"/>
    <w:rsid w:val="007A699A"/>
    <w:rsid w:val="007A6C9D"/>
    <w:rsid w:val="007A7F31"/>
    <w:rsid w:val="007B02D3"/>
    <w:rsid w:val="007B1622"/>
    <w:rsid w:val="007B1D8D"/>
    <w:rsid w:val="007B3027"/>
    <w:rsid w:val="007B33BD"/>
    <w:rsid w:val="007B47DD"/>
    <w:rsid w:val="007B4F2D"/>
    <w:rsid w:val="007B5CED"/>
    <w:rsid w:val="007B6706"/>
    <w:rsid w:val="007B6B03"/>
    <w:rsid w:val="007B78CF"/>
    <w:rsid w:val="007B7A31"/>
    <w:rsid w:val="007C0C85"/>
    <w:rsid w:val="007C1885"/>
    <w:rsid w:val="007C23D1"/>
    <w:rsid w:val="007C397C"/>
    <w:rsid w:val="007C4B1D"/>
    <w:rsid w:val="007C5D62"/>
    <w:rsid w:val="007C5E63"/>
    <w:rsid w:val="007C723C"/>
    <w:rsid w:val="007C7325"/>
    <w:rsid w:val="007D0183"/>
    <w:rsid w:val="007D0AAE"/>
    <w:rsid w:val="007D2AC5"/>
    <w:rsid w:val="007D2F5E"/>
    <w:rsid w:val="007D3005"/>
    <w:rsid w:val="007D31AF"/>
    <w:rsid w:val="007D3274"/>
    <w:rsid w:val="007D36AA"/>
    <w:rsid w:val="007D49F1"/>
    <w:rsid w:val="007D5225"/>
    <w:rsid w:val="007D554A"/>
    <w:rsid w:val="007D6A01"/>
    <w:rsid w:val="007D7D3A"/>
    <w:rsid w:val="007E06F5"/>
    <w:rsid w:val="007E0C55"/>
    <w:rsid w:val="007E0E43"/>
    <w:rsid w:val="007E19A7"/>
    <w:rsid w:val="007E2187"/>
    <w:rsid w:val="007E2F59"/>
    <w:rsid w:val="007E3350"/>
    <w:rsid w:val="007E33F2"/>
    <w:rsid w:val="007E3973"/>
    <w:rsid w:val="007E3A86"/>
    <w:rsid w:val="007E3FEE"/>
    <w:rsid w:val="007E4277"/>
    <w:rsid w:val="007E4C65"/>
    <w:rsid w:val="007E57E3"/>
    <w:rsid w:val="007F0361"/>
    <w:rsid w:val="007F070A"/>
    <w:rsid w:val="007F25D5"/>
    <w:rsid w:val="007F2902"/>
    <w:rsid w:val="007F3775"/>
    <w:rsid w:val="007F3CB8"/>
    <w:rsid w:val="007F4C51"/>
    <w:rsid w:val="007F5479"/>
    <w:rsid w:val="007F6E79"/>
    <w:rsid w:val="007F6F0F"/>
    <w:rsid w:val="007F6F4D"/>
    <w:rsid w:val="007F744A"/>
    <w:rsid w:val="007F7764"/>
    <w:rsid w:val="00800326"/>
    <w:rsid w:val="00800485"/>
    <w:rsid w:val="00800AF6"/>
    <w:rsid w:val="008011FC"/>
    <w:rsid w:val="008014F1"/>
    <w:rsid w:val="00802702"/>
    <w:rsid w:val="0080365D"/>
    <w:rsid w:val="00804E90"/>
    <w:rsid w:val="008054A6"/>
    <w:rsid w:val="008056EA"/>
    <w:rsid w:val="00805D86"/>
    <w:rsid w:val="00813989"/>
    <w:rsid w:val="00813E2E"/>
    <w:rsid w:val="00813FBA"/>
    <w:rsid w:val="00815A02"/>
    <w:rsid w:val="0081688F"/>
    <w:rsid w:val="008172B6"/>
    <w:rsid w:val="00817807"/>
    <w:rsid w:val="00820137"/>
    <w:rsid w:val="00820DE7"/>
    <w:rsid w:val="008211B4"/>
    <w:rsid w:val="00822186"/>
    <w:rsid w:val="008230DB"/>
    <w:rsid w:val="00823553"/>
    <w:rsid w:val="00823E70"/>
    <w:rsid w:val="0082440C"/>
    <w:rsid w:val="00824510"/>
    <w:rsid w:val="008269C6"/>
    <w:rsid w:val="00826AA5"/>
    <w:rsid w:val="008275C1"/>
    <w:rsid w:val="00830C49"/>
    <w:rsid w:val="00834127"/>
    <w:rsid w:val="0083443F"/>
    <w:rsid w:val="00834A83"/>
    <w:rsid w:val="00835CE1"/>
    <w:rsid w:val="00837E0C"/>
    <w:rsid w:val="00837E89"/>
    <w:rsid w:val="008404FC"/>
    <w:rsid w:val="00840EA2"/>
    <w:rsid w:val="00841E47"/>
    <w:rsid w:val="0084399F"/>
    <w:rsid w:val="00843A42"/>
    <w:rsid w:val="00843C1F"/>
    <w:rsid w:val="00844013"/>
    <w:rsid w:val="00844271"/>
    <w:rsid w:val="0084473B"/>
    <w:rsid w:val="00844D9C"/>
    <w:rsid w:val="0084533A"/>
    <w:rsid w:val="00845A67"/>
    <w:rsid w:val="00845DE9"/>
    <w:rsid w:val="00845FF7"/>
    <w:rsid w:val="0084646C"/>
    <w:rsid w:val="008510D4"/>
    <w:rsid w:val="00851A9B"/>
    <w:rsid w:val="00852E5C"/>
    <w:rsid w:val="00852F2D"/>
    <w:rsid w:val="00853B3E"/>
    <w:rsid w:val="00853F10"/>
    <w:rsid w:val="00854486"/>
    <w:rsid w:val="00855884"/>
    <w:rsid w:val="008561CD"/>
    <w:rsid w:val="00856EDC"/>
    <w:rsid w:val="008607C9"/>
    <w:rsid w:val="00860C70"/>
    <w:rsid w:val="00860D13"/>
    <w:rsid w:val="00860D79"/>
    <w:rsid w:val="00861F2B"/>
    <w:rsid w:val="00862F4E"/>
    <w:rsid w:val="00863419"/>
    <w:rsid w:val="00863CB8"/>
    <w:rsid w:val="008641CD"/>
    <w:rsid w:val="0086446F"/>
    <w:rsid w:val="00864F18"/>
    <w:rsid w:val="00864F3E"/>
    <w:rsid w:val="0086588E"/>
    <w:rsid w:val="0086695B"/>
    <w:rsid w:val="008723E8"/>
    <w:rsid w:val="008727B9"/>
    <w:rsid w:val="008740C7"/>
    <w:rsid w:val="0087479F"/>
    <w:rsid w:val="00874F13"/>
    <w:rsid w:val="008752DB"/>
    <w:rsid w:val="00877E46"/>
    <w:rsid w:val="00880AD5"/>
    <w:rsid w:val="008811A3"/>
    <w:rsid w:val="0088176A"/>
    <w:rsid w:val="00883311"/>
    <w:rsid w:val="00883CBB"/>
    <w:rsid w:val="008857B8"/>
    <w:rsid w:val="00885C46"/>
    <w:rsid w:val="00886D1B"/>
    <w:rsid w:val="00890A77"/>
    <w:rsid w:val="00890AD2"/>
    <w:rsid w:val="008914F5"/>
    <w:rsid w:val="008919F9"/>
    <w:rsid w:val="00891FE5"/>
    <w:rsid w:val="00892C67"/>
    <w:rsid w:val="00892CA9"/>
    <w:rsid w:val="008932E7"/>
    <w:rsid w:val="00893EF2"/>
    <w:rsid w:val="00895E8E"/>
    <w:rsid w:val="008969EF"/>
    <w:rsid w:val="00897230"/>
    <w:rsid w:val="00897C42"/>
    <w:rsid w:val="00897CAF"/>
    <w:rsid w:val="00897F57"/>
    <w:rsid w:val="008A35F5"/>
    <w:rsid w:val="008A4079"/>
    <w:rsid w:val="008A4F55"/>
    <w:rsid w:val="008A5537"/>
    <w:rsid w:val="008A5F4C"/>
    <w:rsid w:val="008A60E8"/>
    <w:rsid w:val="008A66E3"/>
    <w:rsid w:val="008A6B96"/>
    <w:rsid w:val="008A722E"/>
    <w:rsid w:val="008A753E"/>
    <w:rsid w:val="008A77C7"/>
    <w:rsid w:val="008A7C9A"/>
    <w:rsid w:val="008B06F3"/>
    <w:rsid w:val="008B1477"/>
    <w:rsid w:val="008B1626"/>
    <w:rsid w:val="008B33FF"/>
    <w:rsid w:val="008B35F5"/>
    <w:rsid w:val="008B404E"/>
    <w:rsid w:val="008B44CE"/>
    <w:rsid w:val="008B5404"/>
    <w:rsid w:val="008B6F52"/>
    <w:rsid w:val="008B7934"/>
    <w:rsid w:val="008C11A6"/>
    <w:rsid w:val="008C15BB"/>
    <w:rsid w:val="008C1C96"/>
    <w:rsid w:val="008C2633"/>
    <w:rsid w:val="008C3A9D"/>
    <w:rsid w:val="008C3ED5"/>
    <w:rsid w:val="008C496B"/>
    <w:rsid w:val="008C607E"/>
    <w:rsid w:val="008D0D2B"/>
    <w:rsid w:val="008D0DE6"/>
    <w:rsid w:val="008D104C"/>
    <w:rsid w:val="008D1C56"/>
    <w:rsid w:val="008D2E49"/>
    <w:rsid w:val="008D3050"/>
    <w:rsid w:val="008D446C"/>
    <w:rsid w:val="008D4F90"/>
    <w:rsid w:val="008D50A8"/>
    <w:rsid w:val="008D56CC"/>
    <w:rsid w:val="008D79FF"/>
    <w:rsid w:val="008E2CC4"/>
    <w:rsid w:val="008E376A"/>
    <w:rsid w:val="008E44CA"/>
    <w:rsid w:val="008E4C3C"/>
    <w:rsid w:val="008E5540"/>
    <w:rsid w:val="008E5593"/>
    <w:rsid w:val="008E61C4"/>
    <w:rsid w:val="008E66E0"/>
    <w:rsid w:val="008F02E1"/>
    <w:rsid w:val="008F052E"/>
    <w:rsid w:val="008F07AF"/>
    <w:rsid w:val="008F383A"/>
    <w:rsid w:val="008F3AC4"/>
    <w:rsid w:val="008F3B24"/>
    <w:rsid w:val="008F3DFA"/>
    <w:rsid w:val="008F40CE"/>
    <w:rsid w:val="008F5DB0"/>
    <w:rsid w:val="008F6022"/>
    <w:rsid w:val="008F6AC8"/>
    <w:rsid w:val="009002EE"/>
    <w:rsid w:val="00900FD9"/>
    <w:rsid w:val="009011FD"/>
    <w:rsid w:val="00901EAF"/>
    <w:rsid w:val="00903A33"/>
    <w:rsid w:val="00903E80"/>
    <w:rsid w:val="00904D90"/>
    <w:rsid w:val="00907245"/>
    <w:rsid w:val="009073D3"/>
    <w:rsid w:val="009076BD"/>
    <w:rsid w:val="00907EE6"/>
    <w:rsid w:val="00907F83"/>
    <w:rsid w:val="00911B3D"/>
    <w:rsid w:val="00912507"/>
    <w:rsid w:val="009131C1"/>
    <w:rsid w:val="0091394B"/>
    <w:rsid w:val="00913A10"/>
    <w:rsid w:val="00913E8B"/>
    <w:rsid w:val="00914A0F"/>
    <w:rsid w:val="00914B6D"/>
    <w:rsid w:val="00916F26"/>
    <w:rsid w:val="009171B8"/>
    <w:rsid w:val="00920090"/>
    <w:rsid w:val="0092338A"/>
    <w:rsid w:val="009238EC"/>
    <w:rsid w:val="009238F6"/>
    <w:rsid w:val="00924320"/>
    <w:rsid w:val="00924343"/>
    <w:rsid w:val="009248B5"/>
    <w:rsid w:val="00924923"/>
    <w:rsid w:val="00924DF2"/>
    <w:rsid w:val="009253FA"/>
    <w:rsid w:val="009256C5"/>
    <w:rsid w:val="0092572B"/>
    <w:rsid w:val="00925C4B"/>
    <w:rsid w:val="009267AF"/>
    <w:rsid w:val="00927154"/>
    <w:rsid w:val="009301B2"/>
    <w:rsid w:val="0093045F"/>
    <w:rsid w:val="00930FA7"/>
    <w:rsid w:val="00931903"/>
    <w:rsid w:val="00932C87"/>
    <w:rsid w:val="00933069"/>
    <w:rsid w:val="009336F1"/>
    <w:rsid w:val="00934A6E"/>
    <w:rsid w:val="00935E30"/>
    <w:rsid w:val="00935F86"/>
    <w:rsid w:val="00936B88"/>
    <w:rsid w:val="00936D9B"/>
    <w:rsid w:val="00941D39"/>
    <w:rsid w:val="009426E8"/>
    <w:rsid w:val="00942B12"/>
    <w:rsid w:val="00944277"/>
    <w:rsid w:val="00944952"/>
    <w:rsid w:val="00944AB3"/>
    <w:rsid w:val="009459B2"/>
    <w:rsid w:val="00946096"/>
    <w:rsid w:val="00946261"/>
    <w:rsid w:val="0095098D"/>
    <w:rsid w:val="0095104D"/>
    <w:rsid w:val="00951365"/>
    <w:rsid w:val="00952E27"/>
    <w:rsid w:val="00952F33"/>
    <w:rsid w:val="00953E48"/>
    <w:rsid w:val="009545D2"/>
    <w:rsid w:val="009553DC"/>
    <w:rsid w:val="00955973"/>
    <w:rsid w:val="0095721B"/>
    <w:rsid w:val="00957F91"/>
    <w:rsid w:val="0096076C"/>
    <w:rsid w:val="009614FA"/>
    <w:rsid w:val="0096176F"/>
    <w:rsid w:val="00961AB7"/>
    <w:rsid w:val="009627F1"/>
    <w:rsid w:val="00962A53"/>
    <w:rsid w:val="00963638"/>
    <w:rsid w:val="00965644"/>
    <w:rsid w:val="00966FD4"/>
    <w:rsid w:val="0096705E"/>
    <w:rsid w:val="009708E7"/>
    <w:rsid w:val="00971C08"/>
    <w:rsid w:val="00974411"/>
    <w:rsid w:val="009756E1"/>
    <w:rsid w:val="00975A82"/>
    <w:rsid w:val="00977047"/>
    <w:rsid w:val="009772E2"/>
    <w:rsid w:val="0097768A"/>
    <w:rsid w:val="00977ED7"/>
    <w:rsid w:val="00980297"/>
    <w:rsid w:val="00980388"/>
    <w:rsid w:val="00980569"/>
    <w:rsid w:val="009807C1"/>
    <w:rsid w:val="009830D5"/>
    <w:rsid w:val="0098369E"/>
    <w:rsid w:val="00985724"/>
    <w:rsid w:val="00990F04"/>
    <w:rsid w:val="00991F8B"/>
    <w:rsid w:val="00992395"/>
    <w:rsid w:val="009929F2"/>
    <w:rsid w:val="009938A4"/>
    <w:rsid w:val="009942F8"/>
    <w:rsid w:val="00995D2E"/>
    <w:rsid w:val="00995D9D"/>
    <w:rsid w:val="009A03C0"/>
    <w:rsid w:val="009A04DF"/>
    <w:rsid w:val="009A0E14"/>
    <w:rsid w:val="009A1498"/>
    <w:rsid w:val="009A1A93"/>
    <w:rsid w:val="009A2BCF"/>
    <w:rsid w:val="009A32D6"/>
    <w:rsid w:val="009A39FE"/>
    <w:rsid w:val="009A43E4"/>
    <w:rsid w:val="009A4F36"/>
    <w:rsid w:val="009A6394"/>
    <w:rsid w:val="009A6A5A"/>
    <w:rsid w:val="009B15F2"/>
    <w:rsid w:val="009B1E63"/>
    <w:rsid w:val="009B205B"/>
    <w:rsid w:val="009B2D70"/>
    <w:rsid w:val="009B62BB"/>
    <w:rsid w:val="009B6698"/>
    <w:rsid w:val="009B7116"/>
    <w:rsid w:val="009B7516"/>
    <w:rsid w:val="009B7636"/>
    <w:rsid w:val="009B78F5"/>
    <w:rsid w:val="009B7CAE"/>
    <w:rsid w:val="009C21C6"/>
    <w:rsid w:val="009C2B22"/>
    <w:rsid w:val="009C4223"/>
    <w:rsid w:val="009C481C"/>
    <w:rsid w:val="009C4F9A"/>
    <w:rsid w:val="009C6DB0"/>
    <w:rsid w:val="009D03A7"/>
    <w:rsid w:val="009D0D45"/>
    <w:rsid w:val="009D2744"/>
    <w:rsid w:val="009D2811"/>
    <w:rsid w:val="009D3ABC"/>
    <w:rsid w:val="009D3D1E"/>
    <w:rsid w:val="009D3F3F"/>
    <w:rsid w:val="009D50C9"/>
    <w:rsid w:val="009D5512"/>
    <w:rsid w:val="009D6101"/>
    <w:rsid w:val="009D62DC"/>
    <w:rsid w:val="009D66AB"/>
    <w:rsid w:val="009E1449"/>
    <w:rsid w:val="009E1BA1"/>
    <w:rsid w:val="009E2E97"/>
    <w:rsid w:val="009E45AF"/>
    <w:rsid w:val="009E645D"/>
    <w:rsid w:val="009E6CE1"/>
    <w:rsid w:val="009E75A1"/>
    <w:rsid w:val="009E7E8D"/>
    <w:rsid w:val="009F154F"/>
    <w:rsid w:val="009F23D0"/>
    <w:rsid w:val="009F2E51"/>
    <w:rsid w:val="009F3278"/>
    <w:rsid w:val="009F3712"/>
    <w:rsid w:val="009F4110"/>
    <w:rsid w:val="009F433E"/>
    <w:rsid w:val="009F5484"/>
    <w:rsid w:val="009F5C46"/>
    <w:rsid w:val="009F5E1E"/>
    <w:rsid w:val="009F6544"/>
    <w:rsid w:val="009F65AB"/>
    <w:rsid w:val="009F677E"/>
    <w:rsid w:val="00A002E5"/>
    <w:rsid w:val="00A01AB2"/>
    <w:rsid w:val="00A02CCA"/>
    <w:rsid w:val="00A03B68"/>
    <w:rsid w:val="00A040D8"/>
    <w:rsid w:val="00A04776"/>
    <w:rsid w:val="00A0492C"/>
    <w:rsid w:val="00A04D6E"/>
    <w:rsid w:val="00A05D64"/>
    <w:rsid w:val="00A05F56"/>
    <w:rsid w:val="00A112A4"/>
    <w:rsid w:val="00A122F1"/>
    <w:rsid w:val="00A140E8"/>
    <w:rsid w:val="00A1452A"/>
    <w:rsid w:val="00A15988"/>
    <w:rsid w:val="00A15F46"/>
    <w:rsid w:val="00A15FA7"/>
    <w:rsid w:val="00A16E9E"/>
    <w:rsid w:val="00A217A7"/>
    <w:rsid w:val="00A21D08"/>
    <w:rsid w:val="00A223EF"/>
    <w:rsid w:val="00A22414"/>
    <w:rsid w:val="00A225E8"/>
    <w:rsid w:val="00A24756"/>
    <w:rsid w:val="00A26A6D"/>
    <w:rsid w:val="00A26AAC"/>
    <w:rsid w:val="00A30DC4"/>
    <w:rsid w:val="00A31535"/>
    <w:rsid w:val="00A316D3"/>
    <w:rsid w:val="00A3367A"/>
    <w:rsid w:val="00A349D1"/>
    <w:rsid w:val="00A34BDE"/>
    <w:rsid w:val="00A34E62"/>
    <w:rsid w:val="00A360B7"/>
    <w:rsid w:val="00A36332"/>
    <w:rsid w:val="00A367B2"/>
    <w:rsid w:val="00A36F24"/>
    <w:rsid w:val="00A405DD"/>
    <w:rsid w:val="00A4134A"/>
    <w:rsid w:val="00A419AD"/>
    <w:rsid w:val="00A41A2E"/>
    <w:rsid w:val="00A433F5"/>
    <w:rsid w:val="00A43D77"/>
    <w:rsid w:val="00A45147"/>
    <w:rsid w:val="00A46022"/>
    <w:rsid w:val="00A5004B"/>
    <w:rsid w:val="00A50100"/>
    <w:rsid w:val="00A50643"/>
    <w:rsid w:val="00A51516"/>
    <w:rsid w:val="00A51E5B"/>
    <w:rsid w:val="00A53A6C"/>
    <w:rsid w:val="00A53AD9"/>
    <w:rsid w:val="00A53CEB"/>
    <w:rsid w:val="00A54928"/>
    <w:rsid w:val="00A54D49"/>
    <w:rsid w:val="00A56BEC"/>
    <w:rsid w:val="00A602EB"/>
    <w:rsid w:val="00A60987"/>
    <w:rsid w:val="00A617EF"/>
    <w:rsid w:val="00A61AF8"/>
    <w:rsid w:val="00A62181"/>
    <w:rsid w:val="00A62694"/>
    <w:rsid w:val="00A63769"/>
    <w:rsid w:val="00A637DC"/>
    <w:rsid w:val="00A65F1A"/>
    <w:rsid w:val="00A67A47"/>
    <w:rsid w:val="00A7022A"/>
    <w:rsid w:val="00A702F1"/>
    <w:rsid w:val="00A70AA2"/>
    <w:rsid w:val="00A70D56"/>
    <w:rsid w:val="00A73190"/>
    <w:rsid w:val="00A735AB"/>
    <w:rsid w:val="00A749E4"/>
    <w:rsid w:val="00A74A9E"/>
    <w:rsid w:val="00A74FBA"/>
    <w:rsid w:val="00A75CA8"/>
    <w:rsid w:val="00A760D6"/>
    <w:rsid w:val="00A761B5"/>
    <w:rsid w:val="00A76720"/>
    <w:rsid w:val="00A7692F"/>
    <w:rsid w:val="00A77130"/>
    <w:rsid w:val="00A775A7"/>
    <w:rsid w:val="00A80EFC"/>
    <w:rsid w:val="00A81297"/>
    <w:rsid w:val="00A8181A"/>
    <w:rsid w:val="00A81A5E"/>
    <w:rsid w:val="00A81E21"/>
    <w:rsid w:val="00A82046"/>
    <w:rsid w:val="00A8289D"/>
    <w:rsid w:val="00A8297C"/>
    <w:rsid w:val="00A82D43"/>
    <w:rsid w:val="00A83239"/>
    <w:rsid w:val="00A83BC6"/>
    <w:rsid w:val="00A83BF7"/>
    <w:rsid w:val="00A84DB7"/>
    <w:rsid w:val="00A86588"/>
    <w:rsid w:val="00A87571"/>
    <w:rsid w:val="00A879D0"/>
    <w:rsid w:val="00A90787"/>
    <w:rsid w:val="00A90BC1"/>
    <w:rsid w:val="00A9136E"/>
    <w:rsid w:val="00A91F6F"/>
    <w:rsid w:val="00A92445"/>
    <w:rsid w:val="00A93A28"/>
    <w:rsid w:val="00A93FE8"/>
    <w:rsid w:val="00A94024"/>
    <w:rsid w:val="00A94EAC"/>
    <w:rsid w:val="00A9564D"/>
    <w:rsid w:val="00A9597A"/>
    <w:rsid w:val="00A95F5F"/>
    <w:rsid w:val="00A9633E"/>
    <w:rsid w:val="00A96402"/>
    <w:rsid w:val="00A96765"/>
    <w:rsid w:val="00A967A7"/>
    <w:rsid w:val="00AA0109"/>
    <w:rsid w:val="00AA2561"/>
    <w:rsid w:val="00AA296C"/>
    <w:rsid w:val="00AA2B6E"/>
    <w:rsid w:val="00AA2C0F"/>
    <w:rsid w:val="00AA2D35"/>
    <w:rsid w:val="00AA44F6"/>
    <w:rsid w:val="00AA58E8"/>
    <w:rsid w:val="00AA62B1"/>
    <w:rsid w:val="00AA62D0"/>
    <w:rsid w:val="00AA71FD"/>
    <w:rsid w:val="00AA77A2"/>
    <w:rsid w:val="00AA7A46"/>
    <w:rsid w:val="00AB2525"/>
    <w:rsid w:val="00AB2E7E"/>
    <w:rsid w:val="00AB46D2"/>
    <w:rsid w:val="00AB7F6F"/>
    <w:rsid w:val="00AC27A5"/>
    <w:rsid w:val="00AC2C19"/>
    <w:rsid w:val="00AC2EC2"/>
    <w:rsid w:val="00AC32EE"/>
    <w:rsid w:val="00AC4431"/>
    <w:rsid w:val="00AC5451"/>
    <w:rsid w:val="00AC69A0"/>
    <w:rsid w:val="00AC7133"/>
    <w:rsid w:val="00AD008A"/>
    <w:rsid w:val="00AD0200"/>
    <w:rsid w:val="00AD0235"/>
    <w:rsid w:val="00AD19AB"/>
    <w:rsid w:val="00AD27A4"/>
    <w:rsid w:val="00AD3351"/>
    <w:rsid w:val="00AD4350"/>
    <w:rsid w:val="00AD56A6"/>
    <w:rsid w:val="00AD592C"/>
    <w:rsid w:val="00AD62DB"/>
    <w:rsid w:val="00AD6C38"/>
    <w:rsid w:val="00AD73CC"/>
    <w:rsid w:val="00AD7B6C"/>
    <w:rsid w:val="00AD7D3F"/>
    <w:rsid w:val="00AE2932"/>
    <w:rsid w:val="00AE3EE7"/>
    <w:rsid w:val="00AE44F3"/>
    <w:rsid w:val="00AE45D3"/>
    <w:rsid w:val="00AE5C8C"/>
    <w:rsid w:val="00AE70DF"/>
    <w:rsid w:val="00AF2610"/>
    <w:rsid w:val="00AF310A"/>
    <w:rsid w:val="00AF323F"/>
    <w:rsid w:val="00AF538D"/>
    <w:rsid w:val="00AF5426"/>
    <w:rsid w:val="00AF5AEE"/>
    <w:rsid w:val="00AF5E2C"/>
    <w:rsid w:val="00B002DF"/>
    <w:rsid w:val="00B01574"/>
    <w:rsid w:val="00B028F0"/>
    <w:rsid w:val="00B02A3D"/>
    <w:rsid w:val="00B02FC1"/>
    <w:rsid w:val="00B0561E"/>
    <w:rsid w:val="00B05B19"/>
    <w:rsid w:val="00B063BB"/>
    <w:rsid w:val="00B06FD0"/>
    <w:rsid w:val="00B075F5"/>
    <w:rsid w:val="00B101E0"/>
    <w:rsid w:val="00B10301"/>
    <w:rsid w:val="00B108D3"/>
    <w:rsid w:val="00B1107B"/>
    <w:rsid w:val="00B11382"/>
    <w:rsid w:val="00B115CB"/>
    <w:rsid w:val="00B12033"/>
    <w:rsid w:val="00B128C3"/>
    <w:rsid w:val="00B135A1"/>
    <w:rsid w:val="00B13617"/>
    <w:rsid w:val="00B1453F"/>
    <w:rsid w:val="00B146CA"/>
    <w:rsid w:val="00B155E4"/>
    <w:rsid w:val="00B162FE"/>
    <w:rsid w:val="00B165D6"/>
    <w:rsid w:val="00B16689"/>
    <w:rsid w:val="00B16815"/>
    <w:rsid w:val="00B16A4E"/>
    <w:rsid w:val="00B17C1E"/>
    <w:rsid w:val="00B21282"/>
    <w:rsid w:val="00B22092"/>
    <w:rsid w:val="00B2241A"/>
    <w:rsid w:val="00B2286E"/>
    <w:rsid w:val="00B23659"/>
    <w:rsid w:val="00B24573"/>
    <w:rsid w:val="00B25932"/>
    <w:rsid w:val="00B2597D"/>
    <w:rsid w:val="00B26C35"/>
    <w:rsid w:val="00B27704"/>
    <w:rsid w:val="00B310A2"/>
    <w:rsid w:val="00B312E3"/>
    <w:rsid w:val="00B31352"/>
    <w:rsid w:val="00B313D0"/>
    <w:rsid w:val="00B31B70"/>
    <w:rsid w:val="00B331E3"/>
    <w:rsid w:val="00B33368"/>
    <w:rsid w:val="00B337C8"/>
    <w:rsid w:val="00B33B01"/>
    <w:rsid w:val="00B33BBC"/>
    <w:rsid w:val="00B34632"/>
    <w:rsid w:val="00B365E1"/>
    <w:rsid w:val="00B367EA"/>
    <w:rsid w:val="00B37996"/>
    <w:rsid w:val="00B40678"/>
    <w:rsid w:val="00B4160C"/>
    <w:rsid w:val="00B41894"/>
    <w:rsid w:val="00B4242E"/>
    <w:rsid w:val="00B42604"/>
    <w:rsid w:val="00B43847"/>
    <w:rsid w:val="00B44338"/>
    <w:rsid w:val="00B446B6"/>
    <w:rsid w:val="00B44770"/>
    <w:rsid w:val="00B45163"/>
    <w:rsid w:val="00B473E3"/>
    <w:rsid w:val="00B475B5"/>
    <w:rsid w:val="00B5105B"/>
    <w:rsid w:val="00B51F8D"/>
    <w:rsid w:val="00B52727"/>
    <w:rsid w:val="00B53157"/>
    <w:rsid w:val="00B55642"/>
    <w:rsid w:val="00B55F7D"/>
    <w:rsid w:val="00B5611E"/>
    <w:rsid w:val="00B56231"/>
    <w:rsid w:val="00B56DBF"/>
    <w:rsid w:val="00B57249"/>
    <w:rsid w:val="00B60969"/>
    <w:rsid w:val="00B60EC0"/>
    <w:rsid w:val="00B6112F"/>
    <w:rsid w:val="00B616D4"/>
    <w:rsid w:val="00B6179A"/>
    <w:rsid w:val="00B62DF3"/>
    <w:rsid w:val="00B6310A"/>
    <w:rsid w:val="00B642C4"/>
    <w:rsid w:val="00B6522A"/>
    <w:rsid w:val="00B652AE"/>
    <w:rsid w:val="00B65452"/>
    <w:rsid w:val="00B6614E"/>
    <w:rsid w:val="00B67022"/>
    <w:rsid w:val="00B673E6"/>
    <w:rsid w:val="00B70696"/>
    <w:rsid w:val="00B711A4"/>
    <w:rsid w:val="00B7183C"/>
    <w:rsid w:val="00B72B71"/>
    <w:rsid w:val="00B72C18"/>
    <w:rsid w:val="00B7344F"/>
    <w:rsid w:val="00B737B0"/>
    <w:rsid w:val="00B751CB"/>
    <w:rsid w:val="00B75464"/>
    <w:rsid w:val="00B75577"/>
    <w:rsid w:val="00B757E2"/>
    <w:rsid w:val="00B75D7B"/>
    <w:rsid w:val="00B75F0F"/>
    <w:rsid w:val="00B76E10"/>
    <w:rsid w:val="00B76EFA"/>
    <w:rsid w:val="00B77525"/>
    <w:rsid w:val="00B80C60"/>
    <w:rsid w:val="00B81139"/>
    <w:rsid w:val="00B817E6"/>
    <w:rsid w:val="00B845D5"/>
    <w:rsid w:val="00B84D09"/>
    <w:rsid w:val="00B8509D"/>
    <w:rsid w:val="00B85906"/>
    <w:rsid w:val="00B86133"/>
    <w:rsid w:val="00B86C2F"/>
    <w:rsid w:val="00B86CF1"/>
    <w:rsid w:val="00B87674"/>
    <w:rsid w:val="00B91090"/>
    <w:rsid w:val="00B918E1"/>
    <w:rsid w:val="00B92172"/>
    <w:rsid w:val="00B92767"/>
    <w:rsid w:val="00B92846"/>
    <w:rsid w:val="00B92BAD"/>
    <w:rsid w:val="00B92C67"/>
    <w:rsid w:val="00B95104"/>
    <w:rsid w:val="00B956E6"/>
    <w:rsid w:val="00B95C51"/>
    <w:rsid w:val="00B97E62"/>
    <w:rsid w:val="00B97FFB"/>
    <w:rsid w:val="00BA00CD"/>
    <w:rsid w:val="00BA11E3"/>
    <w:rsid w:val="00BA14FB"/>
    <w:rsid w:val="00BA1E26"/>
    <w:rsid w:val="00BA1FF8"/>
    <w:rsid w:val="00BA298D"/>
    <w:rsid w:val="00BA332B"/>
    <w:rsid w:val="00BA3E2B"/>
    <w:rsid w:val="00BA552C"/>
    <w:rsid w:val="00BA5BAA"/>
    <w:rsid w:val="00BA5C6F"/>
    <w:rsid w:val="00BA613C"/>
    <w:rsid w:val="00BA66F1"/>
    <w:rsid w:val="00BA75ED"/>
    <w:rsid w:val="00BB03F4"/>
    <w:rsid w:val="00BB0C3D"/>
    <w:rsid w:val="00BB1884"/>
    <w:rsid w:val="00BB24C9"/>
    <w:rsid w:val="00BB2A52"/>
    <w:rsid w:val="00BB312E"/>
    <w:rsid w:val="00BB3B86"/>
    <w:rsid w:val="00BB3C52"/>
    <w:rsid w:val="00BB594E"/>
    <w:rsid w:val="00BB729D"/>
    <w:rsid w:val="00BC2195"/>
    <w:rsid w:val="00BC3A1B"/>
    <w:rsid w:val="00BC477B"/>
    <w:rsid w:val="00BC4B1F"/>
    <w:rsid w:val="00BC565D"/>
    <w:rsid w:val="00BC573E"/>
    <w:rsid w:val="00BC596E"/>
    <w:rsid w:val="00BC6605"/>
    <w:rsid w:val="00BC6D14"/>
    <w:rsid w:val="00BC7139"/>
    <w:rsid w:val="00BC76B6"/>
    <w:rsid w:val="00BD026E"/>
    <w:rsid w:val="00BD06C3"/>
    <w:rsid w:val="00BD12B8"/>
    <w:rsid w:val="00BD16BF"/>
    <w:rsid w:val="00BD2BB9"/>
    <w:rsid w:val="00BD321C"/>
    <w:rsid w:val="00BD33FC"/>
    <w:rsid w:val="00BD4B5E"/>
    <w:rsid w:val="00BD4CD2"/>
    <w:rsid w:val="00BD6025"/>
    <w:rsid w:val="00BD605F"/>
    <w:rsid w:val="00BE03C5"/>
    <w:rsid w:val="00BE1C72"/>
    <w:rsid w:val="00BE2240"/>
    <w:rsid w:val="00BE266A"/>
    <w:rsid w:val="00BE2D2C"/>
    <w:rsid w:val="00BE3A59"/>
    <w:rsid w:val="00BE3E12"/>
    <w:rsid w:val="00BE60DE"/>
    <w:rsid w:val="00BE68CE"/>
    <w:rsid w:val="00BE75FE"/>
    <w:rsid w:val="00BE7DE9"/>
    <w:rsid w:val="00BF13FD"/>
    <w:rsid w:val="00BF21AC"/>
    <w:rsid w:val="00BF2E34"/>
    <w:rsid w:val="00BF337B"/>
    <w:rsid w:val="00BF3D9D"/>
    <w:rsid w:val="00BF5F63"/>
    <w:rsid w:val="00BF64B8"/>
    <w:rsid w:val="00BF7889"/>
    <w:rsid w:val="00C00E62"/>
    <w:rsid w:val="00C01C49"/>
    <w:rsid w:val="00C023DE"/>
    <w:rsid w:val="00C04257"/>
    <w:rsid w:val="00C0509E"/>
    <w:rsid w:val="00C0762B"/>
    <w:rsid w:val="00C07A63"/>
    <w:rsid w:val="00C10173"/>
    <w:rsid w:val="00C1025A"/>
    <w:rsid w:val="00C107E2"/>
    <w:rsid w:val="00C10FE6"/>
    <w:rsid w:val="00C111A3"/>
    <w:rsid w:val="00C12BC4"/>
    <w:rsid w:val="00C1318C"/>
    <w:rsid w:val="00C14377"/>
    <w:rsid w:val="00C143B9"/>
    <w:rsid w:val="00C150D6"/>
    <w:rsid w:val="00C15EBC"/>
    <w:rsid w:val="00C161A5"/>
    <w:rsid w:val="00C17D4E"/>
    <w:rsid w:val="00C2045D"/>
    <w:rsid w:val="00C21668"/>
    <w:rsid w:val="00C225BF"/>
    <w:rsid w:val="00C23A17"/>
    <w:rsid w:val="00C252E3"/>
    <w:rsid w:val="00C2730C"/>
    <w:rsid w:val="00C277E9"/>
    <w:rsid w:val="00C27E86"/>
    <w:rsid w:val="00C27FBE"/>
    <w:rsid w:val="00C3054D"/>
    <w:rsid w:val="00C30905"/>
    <w:rsid w:val="00C31235"/>
    <w:rsid w:val="00C31514"/>
    <w:rsid w:val="00C328C0"/>
    <w:rsid w:val="00C33DD1"/>
    <w:rsid w:val="00C3542C"/>
    <w:rsid w:val="00C35584"/>
    <w:rsid w:val="00C356A5"/>
    <w:rsid w:val="00C35825"/>
    <w:rsid w:val="00C360A8"/>
    <w:rsid w:val="00C361BD"/>
    <w:rsid w:val="00C3621A"/>
    <w:rsid w:val="00C365B0"/>
    <w:rsid w:val="00C36BF6"/>
    <w:rsid w:val="00C36C78"/>
    <w:rsid w:val="00C37402"/>
    <w:rsid w:val="00C3759E"/>
    <w:rsid w:val="00C4021A"/>
    <w:rsid w:val="00C42674"/>
    <w:rsid w:val="00C43F59"/>
    <w:rsid w:val="00C4442C"/>
    <w:rsid w:val="00C44DD8"/>
    <w:rsid w:val="00C4522F"/>
    <w:rsid w:val="00C45D56"/>
    <w:rsid w:val="00C46B28"/>
    <w:rsid w:val="00C46DE2"/>
    <w:rsid w:val="00C509CB"/>
    <w:rsid w:val="00C50F3F"/>
    <w:rsid w:val="00C52773"/>
    <w:rsid w:val="00C528B3"/>
    <w:rsid w:val="00C53069"/>
    <w:rsid w:val="00C530E7"/>
    <w:rsid w:val="00C5328C"/>
    <w:rsid w:val="00C545B3"/>
    <w:rsid w:val="00C54C9D"/>
    <w:rsid w:val="00C54D60"/>
    <w:rsid w:val="00C54D73"/>
    <w:rsid w:val="00C54EFB"/>
    <w:rsid w:val="00C567F6"/>
    <w:rsid w:val="00C60B61"/>
    <w:rsid w:val="00C616E5"/>
    <w:rsid w:val="00C6208A"/>
    <w:rsid w:val="00C642C5"/>
    <w:rsid w:val="00C65C27"/>
    <w:rsid w:val="00C6633F"/>
    <w:rsid w:val="00C665E8"/>
    <w:rsid w:val="00C666BC"/>
    <w:rsid w:val="00C66A5D"/>
    <w:rsid w:val="00C66A99"/>
    <w:rsid w:val="00C67039"/>
    <w:rsid w:val="00C7098B"/>
    <w:rsid w:val="00C71159"/>
    <w:rsid w:val="00C72CA6"/>
    <w:rsid w:val="00C72DD9"/>
    <w:rsid w:val="00C73704"/>
    <w:rsid w:val="00C73B7E"/>
    <w:rsid w:val="00C7535A"/>
    <w:rsid w:val="00C755AD"/>
    <w:rsid w:val="00C75A2E"/>
    <w:rsid w:val="00C762EC"/>
    <w:rsid w:val="00C80AA1"/>
    <w:rsid w:val="00C80D81"/>
    <w:rsid w:val="00C80FFB"/>
    <w:rsid w:val="00C811C4"/>
    <w:rsid w:val="00C827C7"/>
    <w:rsid w:val="00C8321D"/>
    <w:rsid w:val="00C84E92"/>
    <w:rsid w:val="00C856E9"/>
    <w:rsid w:val="00C85EFE"/>
    <w:rsid w:val="00C863F8"/>
    <w:rsid w:val="00C86D29"/>
    <w:rsid w:val="00C87B3D"/>
    <w:rsid w:val="00C901FD"/>
    <w:rsid w:val="00C902AE"/>
    <w:rsid w:val="00C9196A"/>
    <w:rsid w:val="00C92E22"/>
    <w:rsid w:val="00C931AF"/>
    <w:rsid w:val="00C93275"/>
    <w:rsid w:val="00C94FAC"/>
    <w:rsid w:val="00C94FBD"/>
    <w:rsid w:val="00C9543D"/>
    <w:rsid w:val="00C96324"/>
    <w:rsid w:val="00C977E5"/>
    <w:rsid w:val="00C97E5A"/>
    <w:rsid w:val="00C97FF1"/>
    <w:rsid w:val="00CA166C"/>
    <w:rsid w:val="00CA5673"/>
    <w:rsid w:val="00CA5B58"/>
    <w:rsid w:val="00CA5C74"/>
    <w:rsid w:val="00CA5F19"/>
    <w:rsid w:val="00CA67C7"/>
    <w:rsid w:val="00CA76B4"/>
    <w:rsid w:val="00CA7EEF"/>
    <w:rsid w:val="00CB01D7"/>
    <w:rsid w:val="00CB18CD"/>
    <w:rsid w:val="00CB2105"/>
    <w:rsid w:val="00CB2EC4"/>
    <w:rsid w:val="00CB33CF"/>
    <w:rsid w:val="00CB3A8B"/>
    <w:rsid w:val="00CB3BA8"/>
    <w:rsid w:val="00CB493A"/>
    <w:rsid w:val="00CB5AB3"/>
    <w:rsid w:val="00CB5D6B"/>
    <w:rsid w:val="00CB6227"/>
    <w:rsid w:val="00CB62EA"/>
    <w:rsid w:val="00CB6475"/>
    <w:rsid w:val="00CB7C83"/>
    <w:rsid w:val="00CB7CA6"/>
    <w:rsid w:val="00CC07CB"/>
    <w:rsid w:val="00CC2639"/>
    <w:rsid w:val="00CC3E2E"/>
    <w:rsid w:val="00CC790A"/>
    <w:rsid w:val="00CC7C73"/>
    <w:rsid w:val="00CD11A8"/>
    <w:rsid w:val="00CD1ADA"/>
    <w:rsid w:val="00CD28C2"/>
    <w:rsid w:val="00CD2CFB"/>
    <w:rsid w:val="00CD3502"/>
    <w:rsid w:val="00CD49D6"/>
    <w:rsid w:val="00CD50D0"/>
    <w:rsid w:val="00CD521E"/>
    <w:rsid w:val="00CD573E"/>
    <w:rsid w:val="00CD7296"/>
    <w:rsid w:val="00CD730C"/>
    <w:rsid w:val="00CD773A"/>
    <w:rsid w:val="00CD7B9C"/>
    <w:rsid w:val="00CE0130"/>
    <w:rsid w:val="00CE015C"/>
    <w:rsid w:val="00CE05CA"/>
    <w:rsid w:val="00CE05ED"/>
    <w:rsid w:val="00CE1FB9"/>
    <w:rsid w:val="00CE600A"/>
    <w:rsid w:val="00CE6EDF"/>
    <w:rsid w:val="00CE70FA"/>
    <w:rsid w:val="00CF00D7"/>
    <w:rsid w:val="00CF0DE7"/>
    <w:rsid w:val="00CF0DF8"/>
    <w:rsid w:val="00CF12A3"/>
    <w:rsid w:val="00CF12D9"/>
    <w:rsid w:val="00CF1EE6"/>
    <w:rsid w:val="00CF2C58"/>
    <w:rsid w:val="00CF42B7"/>
    <w:rsid w:val="00CF5DF9"/>
    <w:rsid w:val="00CF6A9D"/>
    <w:rsid w:val="00CF6ACB"/>
    <w:rsid w:val="00CF6CCA"/>
    <w:rsid w:val="00D001BC"/>
    <w:rsid w:val="00D00711"/>
    <w:rsid w:val="00D0081E"/>
    <w:rsid w:val="00D00B09"/>
    <w:rsid w:val="00D01B71"/>
    <w:rsid w:val="00D030FC"/>
    <w:rsid w:val="00D03F20"/>
    <w:rsid w:val="00D04140"/>
    <w:rsid w:val="00D04554"/>
    <w:rsid w:val="00D0474A"/>
    <w:rsid w:val="00D04E71"/>
    <w:rsid w:val="00D056E6"/>
    <w:rsid w:val="00D06A5E"/>
    <w:rsid w:val="00D07EB9"/>
    <w:rsid w:val="00D11BAD"/>
    <w:rsid w:val="00D13842"/>
    <w:rsid w:val="00D147A6"/>
    <w:rsid w:val="00D14A24"/>
    <w:rsid w:val="00D14D23"/>
    <w:rsid w:val="00D15BF9"/>
    <w:rsid w:val="00D16C03"/>
    <w:rsid w:val="00D16DF8"/>
    <w:rsid w:val="00D2099B"/>
    <w:rsid w:val="00D21BD8"/>
    <w:rsid w:val="00D22117"/>
    <w:rsid w:val="00D22155"/>
    <w:rsid w:val="00D24021"/>
    <w:rsid w:val="00D240F3"/>
    <w:rsid w:val="00D24D5B"/>
    <w:rsid w:val="00D255DC"/>
    <w:rsid w:val="00D257BA"/>
    <w:rsid w:val="00D26472"/>
    <w:rsid w:val="00D27862"/>
    <w:rsid w:val="00D27A49"/>
    <w:rsid w:val="00D3006B"/>
    <w:rsid w:val="00D304AB"/>
    <w:rsid w:val="00D3078F"/>
    <w:rsid w:val="00D30E2D"/>
    <w:rsid w:val="00D34642"/>
    <w:rsid w:val="00D36AED"/>
    <w:rsid w:val="00D37151"/>
    <w:rsid w:val="00D375DC"/>
    <w:rsid w:val="00D4068A"/>
    <w:rsid w:val="00D41275"/>
    <w:rsid w:val="00D41B7B"/>
    <w:rsid w:val="00D4272D"/>
    <w:rsid w:val="00D42D5F"/>
    <w:rsid w:val="00D4319C"/>
    <w:rsid w:val="00D43B43"/>
    <w:rsid w:val="00D45164"/>
    <w:rsid w:val="00D4543A"/>
    <w:rsid w:val="00D45838"/>
    <w:rsid w:val="00D46223"/>
    <w:rsid w:val="00D46801"/>
    <w:rsid w:val="00D47E49"/>
    <w:rsid w:val="00D50ADD"/>
    <w:rsid w:val="00D50E6C"/>
    <w:rsid w:val="00D51396"/>
    <w:rsid w:val="00D522F6"/>
    <w:rsid w:val="00D52304"/>
    <w:rsid w:val="00D53196"/>
    <w:rsid w:val="00D5396D"/>
    <w:rsid w:val="00D54297"/>
    <w:rsid w:val="00D54FEE"/>
    <w:rsid w:val="00D5563C"/>
    <w:rsid w:val="00D55A4F"/>
    <w:rsid w:val="00D5636E"/>
    <w:rsid w:val="00D57DF5"/>
    <w:rsid w:val="00D6145B"/>
    <w:rsid w:val="00D6192E"/>
    <w:rsid w:val="00D62132"/>
    <w:rsid w:val="00D63001"/>
    <w:rsid w:val="00D67E70"/>
    <w:rsid w:val="00D716DB"/>
    <w:rsid w:val="00D72B27"/>
    <w:rsid w:val="00D7393D"/>
    <w:rsid w:val="00D740E4"/>
    <w:rsid w:val="00D753E8"/>
    <w:rsid w:val="00D77D38"/>
    <w:rsid w:val="00D77FF5"/>
    <w:rsid w:val="00D80EC7"/>
    <w:rsid w:val="00D8106C"/>
    <w:rsid w:val="00D818C6"/>
    <w:rsid w:val="00D823A4"/>
    <w:rsid w:val="00D83289"/>
    <w:rsid w:val="00D84910"/>
    <w:rsid w:val="00D84C30"/>
    <w:rsid w:val="00D87520"/>
    <w:rsid w:val="00D91ED5"/>
    <w:rsid w:val="00D92962"/>
    <w:rsid w:val="00D95455"/>
    <w:rsid w:val="00D955DB"/>
    <w:rsid w:val="00D9593A"/>
    <w:rsid w:val="00D95EFC"/>
    <w:rsid w:val="00D97583"/>
    <w:rsid w:val="00D975C7"/>
    <w:rsid w:val="00DA0080"/>
    <w:rsid w:val="00DA09F6"/>
    <w:rsid w:val="00DA0DF7"/>
    <w:rsid w:val="00DA105A"/>
    <w:rsid w:val="00DA1423"/>
    <w:rsid w:val="00DA1B2C"/>
    <w:rsid w:val="00DA2716"/>
    <w:rsid w:val="00DA2D7A"/>
    <w:rsid w:val="00DA301B"/>
    <w:rsid w:val="00DA4199"/>
    <w:rsid w:val="00DA47FD"/>
    <w:rsid w:val="00DA5BBE"/>
    <w:rsid w:val="00DA666F"/>
    <w:rsid w:val="00DA681A"/>
    <w:rsid w:val="00DA69E3"/>
    <w:rsid w:val="00DA74AE"/>
    <w:rsid w:val="00DA753B"/>
    <w:rsid w:val="00DA7910"/>
    <w:rsid w:val="00DB0970"/>
    <w:rsid w:val="00DB0B05"/>
    <w:rsid w:val="00DB0B94"/>
    <w:rsid w:val="00DB1271"/>
    <w:rsid w:val="00DB19F2"/>
    <w:rsid w:val="00DB1C32"/>
    <w:rsid w:val="00DB1E6C"/>
    <w:rsid w:val="00DB232C"/>
    <w:rsid w:val="00DB37E3"/>
    <w:rsid w:val="00DB42DA"/>
    <w:rsid w:val="00DB43AF"/>
    <w:rsid w:val="00DB4508"/>
    <w:rsid w:val="00DB4CE1"/>
    <w:rsid w:val="00DB621D"/>
    <w:rsid w:val="00DC0214"/>
    <w:rsid w:val="00DC0266"/>
    <w:rsid w:val="00DC0D85"/>
    <w:rsid w:val="00DC1159"/>
    <w:rsid w:val="00DC11B1"/>
    <w:rsid w:val="00DC193D"/>
    <w:rsid w:val="00DC3713"/>
    <w:rsid w:val="00DC3FCD"/>
    <w:rsid w:val="00DC4E70"/>
    <w:rsid w:val="00DC4F66"/>
    <w:rsid w:val="00DC5532"/>
    <w:rsid w:val="00DC5C59"/>
    <w:rsid w:val="00DC631A"/>
    <w:rsid w:val="00DC6779"/>
    <w:rsid w:val="00DC6B7B"/>
    <w:rsid w:val="00DC7998"/>
    <w:rsid w:val="00DC7EFA"/>
    <w:rsid w:val="00DC7F13"/>
    <w:rsid w:val="00DD10B0"/>
    <w:rsid w:val="00DD1C21"/>
    <w:rsid w:val="00DD3CB1"/>
    <w:rsid w:val="00DD3D3B"/>
    <w:rsid w:val="00DD4314"/>
    <w:rsid w:val="00DD4EF6"/>
    <w:rsid w:val="00DD5A52"/>
    <w:rsid w:val="00DD6395"/>
    <w:rsid w:val="00DD7305"/>
    <w:rsid w:val="00DD7768"/>
    <w:rsid w:val="00DE02E0"/>
    <w:rsid w:val="00DE1B49"/>
    <w:rsid w:val="00DE227B"/>
    <w:rsid w:val="00DE229E"/>
    <w:rsid w:val="00DE3128"/>
    <w:rsid w:val="00DE3387"/>
    <w:rsid w:val="00DE36DF"/>
    <w:rsid w:val="00DE4D5C"/>
    <w:rsid w:val="00DE63A8"/>
    <w:rsid w:val="00DF001E"/>
    <w:rsid w:val="00DF0150"/>
    <w:rsid w:val="00DF54AB"/>
    <w:rsid w:val="00DF5717"/>
    <w:rsid w:val="00DF768C"/>
    <w:rsid w:val="00DF7BBD"/>
    <w:rsid w:val="00E00A27"/>
    <w:rsid w:val="00E01535"/>
    <w:rsid w:val="00E01E89"/>
    <w:rsid w:val="00E02516"/>
    <w:rsid w:val="00E02EFC"/>
    <w:rsid w:val="00E03DA1"/>
    <w:rsid w:val="00E04883"/>
    <w:rsid w:val="00E048F8"/>
    <w:rsid w:val="00E050B2"/>
    <w:rsid w:val="00E05F80"/>
    <w:rsid w:val="00E075F8"/>
    <w:rsid w:val="00E07EB9"/>
    <w:rsid w:val="00E10FC5"/>
    <w:rsid w:val="00E1103D"/>
    <w:rsid w:val="00E11DA9"/>
    <w:rsid w:val="00E12BA7"/>
    <w:rsid w:val="00E1424A"/>
    <w:rsid w:val="00E15F1C"/>
    <w:rsid w:val="00E168D0"/>
    <w:rsid w:val="00E208B5"/>
    <w:rsid w:val="00E20EC8"/>
    <w:rsid w:val="00E21134"/>
    <w:rsid w:val="00E22771"/>
    <w:rsid w:val="00E22D37"/>
    <w:rsid w:val="00E2427D"/>
    <w:rsid w:val="00E24E0D"/>
    <w:rsid w:val="00E24F42"/>
    <w:rsid w:val="00E25E1A"/>
    <w:rsid w:val="00E264B2"/>
    <w:rsid w:val="00E26ACF"/>
    <w:rsid w:val="00E26C8A"/>
    <w:rsid w:val="00E3026D"/>
    <w:rsid w:val="00E30C21"/>
    <w:rsid w:val="00E30D72"/>
    <w:rsid w:val="00E316C0"/>
    <w:rsid w:val="00E31C51"/>
    <w:rsid w:val="00E32997"/>
    <w:rsid w:val="00E32A26"/>
    <w:rsid w:val="00E336E0"/>
    <w:rsid w:val="00E33956"/>
    <w:rsid w:val="00E3419F"/>
    <w:rsid w:val="00E35D69"/>
    <w:rsid w:val="00E3615A"/>
    <w:rsid w:val="00E36C81"/>
    <w:rsid w:val="00E377D7"/>
    <w:rsid w:val="00E377F7"/>
    <w:rsid w:val="00E4019E"/>
    <w:rsid w:val="00E40629"/>
    <w:rsid w:val="00E412F3"/>
    <w:rsid w:val="00E41542"/>
    <w:rsid w:val="00E419DB"/>
    <w:rsid w:val="00E44E5B"/>
    <w:rsid w:val="00E45A3C"/>
    <w:rsid w:val="00E471D4"/>
    <w:rsid w:val="00E478FB"/>
    <w:rsid w:val="00E5282C"/>
    <w:rsid w:val="00E530B9"/>
    <w:rsid w:val="00E541B2"/>
    <w:rsid w:val="00E55740"/>
    <w:rsid w:val="00E55FD9"/>
    <w:rsid w:val="00E57498"/>
    <w:rsid w:val="00E57865"/>
    <w:rsid w:val="00E60044"/>
    <w:rsid w:val="00E6049D"/>
    <w:rsid w:val="00E616D4"/>
    <w:rsid w:val="00E63759"/>
    <w:rsid w:val="00E638BE"/>
    <w:rsid w:val="00E64420"/>
    <w:rsid w:val="00E64A26"/>
    <w:rsid w:val="00E64DA9"/>
    <w:rsid w:val="00E65797"/>
    <w:rsid w:val="00E6652C"/>
    <w:rsid w:val="00E668F8"/>
    <w:rsid w:val="00E7065D"/>
    <w:rsid w:val="00E7211F"/>
    <w:rsid w:val="00E725BB"/>
    <w:rsid w:val="00E72D11"/>
    <w:rsid w:val="00E72F47"/>
    <w:rsid w:val="00E73376"/>
    <w:rsid w:val="00E733FD"/>
    <w:rsid w:val="00E74489"/>
    <w:rsid w:val="00E74DCD"/>
    <w:rsid w:val="00E7526C"/>
    <w:rsid w:val="00E75762"/>
    <w:rsid w:val="00E75913"/>
    <w:rsid w:val="00E75A68"/>
    <w:rsid w:val="00E75BF5"/>
    <w:rsid w:val="00E768CE"/>
    <w:rsid w:val="00E827D1"/>
    <w:rsid w:val="00E83919"/>
    <w:rsid w:val="00E844EE"/>
    <w:rsid w:val="00E8471E"/>
    <w:rsid w:val="00E85187"/>
    <w:rsid w:val="00E86022"/>
    <w:rsid w:val="00E8755B"/>
    <w:rsid w:val="00E8788B"/>
    <w:rsid w:val="00E902BE"/>
    <w:rsid w:val="00E902CE"/>
    <w:rsid w:val="00E90E82"/>
    <w:rsid w:val="00E914FF"/>
    <w:rsid w:val="00E9338E"/>
    <w:rsid w:val="00E936E3"/>
    <w:rsid w:val="00E945E1"/>
    <w:rsid w:val="00E95372"/>
    <w:rsid w:val="00E966B2"/>
    <w:rsid w:val="00E96E68"/>
    <w:rsid w:val="00E97000"/>
    <w:rsid w:val="00E97472"/>
    <w:rsid w:val="00EA001D"/>
    <w:rsid w:val="00EA0BA5"/>
    <w:rsid w:val="00EA19FC"/>
    <w:rsid w:val="00EA1DEE"/>
    <w:rsid w:val="00EA2994"/>
    <w:rsid w:val="00EA3809"/>
    <w:rsid w:val="00EA4A92"/>
    <w:rsid w:val="00EA55BE"/>
    <w:rsid w:val="00EA622E"/>
    <w:rsid w:val="00EB0337"/>
    <w:rsid w:val="00EB10FB"/>
    <w:rsid w:val="00EB14A5"/>
    <w:rsid w:val="00EB223F"/>
    <w:rsid w:val="00EB2DA3"/>
    <w:rsid w:val="00EB3099"/>
    <w:rsid w:val="00EB6462"/>
    <w:rsid w:val="00EB650A"/>
    <w:rsid w:val="00EB6578"/>
    <w:rsid w:val="00EB6E96"/>
    <w:rsid w:val="00EB74BE"/>
    <w:rsid w:val="00EC0837"/>
    <w:rsid w:val="00EC0C0B"/>
    <w:rsid w:val="00EC15B6"/>
    <w:rsid w:val="00EC1616"/>
    <w:rsid w:val="00EC2622"/>
    <w:rsid w:val="00EC2788"/>
    <w:rsid w:val="00EC35AE"/>
    <w:rsid w:val="00EC396B"/>
    <w:rsid w:val="00EC463A"/>
    <w:rsid w:val="00EC6C97"/>
    <w:rsid w:val="00EC7A4B"/>
    <w:rsid w:val="00ED193F"/>
    <w:rsid w:val="00ED1AF8"/>
    <w:rsid w:val="00ED317B"/>
    <w:rsid w:val="00ED4258"/>
    <w:rsid w:val="00ED4A56"/>
    <w:rsid w:val="00ED4C08"/>
    <w:rsid w:val="00ED51E3"/>
    <w:rsid w:val="00ED56D3"/>
    <w:rsid w:val="00ED56DA"/>
    <w:rsid w:val="00ED5B21"/>
    <w:rsid w:val="00ED5F48"/>
    <w:rsid w:val="00ED63D2"/>
    <w:rsid w:val="00ED789B"/>
    <w:rsid w:val="00EE01E3"/>
    <w:rsid w:val="00EE0B79"/>
    <w:rsid w:val="00EE124E"/>
    <w:rsid w:val="00EE21E3"/>
    <w:rsid w:val="00EE2A1F"/>
    <w:rsid w:val="00EE2CAB"/>
    <w:rsid w:val="00EE3858"/>
    <w:rsid w:val="00EE3F2A"/>
    <w:rsid w:val="00EE50C7"/>
    <w:rsid w:val="00EE54B0"/>
    <w:rsid w:val="00EE688E"/>
    <w:rsid w:val="00EE7574"/>
    <w:rsid w:val="00EF0017"/>
    <w:rsid w:val="00EF0235"/>
    <w:rsid w:val="00EF0258"/>
    <w:rsid w:val="00EF029D"/>
    <w:rsid w:val="00EF05B8"/>
    <w:rsid w:val="00EF16E3"/>
    <w:rsid w:val="00EF1CC1"/>
    <w:rsid w:val="00EF22D2"/>
    <w:rsid w:val="00EF36ED"/>
    <w:rsid w:val="00EF498D"/>
    <w:rsid w:val="00EF518A"/>
    <w:rsid w:val="00EF6551"/>
    <w:rsid w:val="00EF6708"/>
    <w:rsid w:val="00EF695E"/>
    <w:rsid w:val="00F003A9"/>
    <w:rsid w:val="00F00876"/>
    <w:rsid w:val="00F01FC8"/>
    <w:rsid w:val="00F04A6F"/>
    <w:rsid w:val="00F05026"/>
    <w:rsid w:val="00F052B3"/>
    <w:rsid w:val="00F05425"/>
    <w:rsid w:val="00F05619"/>
    <w:rsid w:val="00F065B5"/>
    <w:rsid w:val="00F07417"/>
    <w:rsid w:val="00F077B3"/>
    <w:rsid w:val="00F0780A"/>
    <w:rsid w:val="00F1028A"/>
    <w:rsid w:val="00F10CBE"/>
    <w:rsid w:val="00F1289D"/>
    <w:rsid w:val="00F13E8F"/>
    <w:rsid w:val="00F14288"/>
    <w:rsid w:val="00F14F6F"/>
    <w:rsid w:val="00F15345"/>
    <w:rsid w:val="00F15E1E"/>
    <w:rsid w:val="00F1722B"/>
    <w:rsid w:val="00F175A2"/>
    <w:rsid w:val="00F222A0"/>
    <w:rsid w:val="00F22666"/>
    <w:rsid w:val="00F228C5"/>
    <w:rsid w:val="00F233C5"/>
    <w:rsid w:val="00F23C14"/>
    <w:rsid w:val="00F23CBE"/>
    <w:rsid w:val="00F23F77"/>
    <w:rsid w:val="00F24B0B"/>
    <w:rsid w:val="00F25119"/>
    <w:rsid w:val="00F26A23"/>
    <w:rsid w:val="00F26D1B"/>
    <w:rsid w:val="00F27ACB"/>
    <w:rsid w:val="00F30293"/>
    <w:rsid w:val="00F30656"/>
    <w:rsid w:val="00F30C6A"/>
    <w:rsid w:val="00F3106A"/>
    <w:rsid w:val="00F32577"/>
    <w:rsid w:val="00F32613"/>
    <w:rsid w:val="00F32A52"/>
    <w:rsid w:val="00F33313"/>
    <w:rsid w:val="00F33BC8"/>
    <w:rsid w:val="00F3451E"/>
    <w:rsid w:val="00F34D15"/>
    <w:rsid w:val="00F35BCA"/>
    <w:rsid w:val="00F36EB1"/>
    <w:rsid w:val="00F3773C"/>
    <w:rsid w:val="00F379A6"/>
    <w:rsid w:val="00F408C6"/>
    <w:rsid w:val="00F4274E"/>
    <w:rsid w:val="00F42B26"/>
    <w:rsid w:val="00F43C3A"/>
    <w:rsid w:val="00F44324"/>
    <w:rsid w:val="00F4451E"/>
    <w:rsid w:val="00F4556A"/>
    <w:rsid w:val="00F46007"/>
    <w:rsid w:val="00F4631D"/>
    <w:rsid w:val="00F465AD"/>
    <w:rsid w:val="00F465EF"/>
    <w:rsid w:val="00F50008"/>
    <w:rsid w:val="00F506E9"/>
    <w:rsid w:val="00F515AE"/>
    <w:rsid w:val="00F51FA7"/>
    <w:rsid w:val="00F52A35"/>
    <w:rsid w:val="00F52A6C"/>
    <w:rsid w:val="00F53D3F"/>
    <w:rsid w:val="00F53DE6"/>
    <w:rsid w:val="00F54669"/>
    <w:rsid w:val="00F54A8F"/>
    <w:rsid w:val="00F54AA9"/>
    <w:rsid w:val="00F54E5E"/>
    <w:rsid w:val="00F55BA8"/>
    <w:rsid w:val="00F56631"/>
    <w:rsid w:val="00F57598"/>
    <w:rsid w:val="00F57D72"/>
    <w:rsid w:val="00F6062D"/>
    <w:rsid w:val="00F609DD"/>
    <w:rsid w:val="00F615B5"/>
    <w:rsid w:val="00F61AA7"/>
    <w:rsid w:val="00F62116"/>
    <w:rsid w:val="00F626CB"/>
    <w:rsid w:val="00F627D0"/>
    <w:rsid w:val="00F630C1"/>
    <w:rsid w:val="00F6365A"/>
    <w:rsid w:val="00F64057"/>
    <w:rsid w:val="00F643D3"/>
    <w:rsid w:val="00F65A7D"/>
    <w:rsid w:val="00F666AF"/>
    <w:rsid w:val="00F66881"/>
    <w:rsid w:val="00F676F0"/>
    <w:rsid w:val="00F704EB"/>
    <w:rsid w:val="00F708E8"/>
    <w:rsid w:val="00F708FC"/>
    <w:rsid w:val="00F70B6F"/>
    <w:rsid w:val="00F70C47"/>
    <w:rsid w:val="00F71379"/>
    <w:rsid w:val="00F72F30"/>
    <w:rsid w:val="00F72FC7"/>
    <w:rsid w:val="00F73FA4"/>
    <w:rsid w:val="00F7533A"/>
    <w:rsid w:val="00F7587B"/>
    <w:rsid w:val="00F75D3B"/>
    <w:rsid w:val="00F76440"/>
    <w:rsid w:val="00F77CED"/>
    <w:rsid w:val="00F80979"/>
    <w:rsid w:val="00F80AD1"/>
    <w:rsid w:val="00F81F2C"/>
    <w:rsid w:val="00F82814"/>
    <w:rsid w:val="00F82A59"/>
    <w:rsid w:val="00F845D7"/>
    <w:rsid w:val="00F85B12"/>
    <w:rsid w:val="00F86FC9"/>
    <w:rsid w:val="00F876CD"/>
    <w:rsid w:val="00F901C5"/>
    <w:rsid w:val="00F908FE"/>
    <w:rsid w:val="00F91C9E"/>
    <w:rsid w:val="00F92178"/>
    <w:rsid w:val="00F94497"/>
    <w:rsid w:val="00F945F4"/>
    <w:rsid w:val="00F94684"/>
    <w:rsid w:val="00F9484A"/>
    <w:rsid w:val="00F964EE"/>
    <w:rsid w:val="00F97560"/>
    <w:rsid w:val="00F9782D"/>
    <w:rsid w:val="00FA06B1"/>
    <w:rsid w:val="00FA1DF3"/>
    <w:rsid w:val="00FA241C"/>
    <w:rsid w:val="00FA4B31"/>
    <w:rsid w:val="00FA4BF7"/>
    <w:rsid w:val="00FA51ED"/>
    <w:rsid w:val="00FA68A6"/>
    <w:rsid w:val="00FB09E3"/>
    <w:rsid w:val="00FB1389"/>
    <w:rsid w:val="00FB237B"/>
    <w:rsid w:val="00FB29F7"/>
    <w:rsid w:val="00FB2A49"/>
    <w:rsid w:val="00FB35F9"/>
    <w:rsid w:val="00FB3AB7"/>
    <w:rsid w:val="00FB3AC4"/>
    <w:rsid w:val="00FB3CC4"/>
    <w:rsid w:val="00FB4DB1"/>
    <w:rsid w:val="00FB4E97"/>
    <w:rsid w:val="00FB5065"/>
    <w:rsid w:val="00FB637C"/>
    <w:rsid w:val="00FB6D75"/>
    <w:rsid w:val="00FC28C7"/>
    <w:rsid w:val="00FC2B16"/>
    <w:rsid w:val="00FC37EA"/>
    <w:rsid w:val="00FC4909"/>
    <w:rsid w:val="00FC4E68"/>
    <w:rsid w:val="00FC5215"/>
    <w:rsid w:val="00FC53DA"/>
    <w:rsid w:val="00FC67D8"/>
    <w:rsid w:val="00FC6BB6"/>
    <w:rsid w:val="00FC6E57"/>
    <w:rsid w:val="00FC737A"/>
    <w:rsid w:val="00FC7CBB"/>
    <w:rsid w:val="00FD01E1"/>
    <w:rsid w:val="00FD0837"/>
    <w:rsid w:val="00FD0D74"/>
    <w:rsid w:val="00FD1786"/>
    <w:rsid w:val="00FD1D2F"/>
    <w:rsid w:val="00FD3DFD"/>
    <w:rsid w:val="00FD3E6C"/>
    <w:rsid w:val="00FD4D54"/>
    <w:rsid w:val="00FD5AB7"/>
    <w:rsid w:val="00FD5D0D"/>
    <w:rsid w:val="00FD5F95"/>
    <w:rsid w:val="00FD76FE"/>
    <w:rsid w:val="00FD7B04"/>
    <w:rsid w:val="00FE020B"/>
    <w:rsid w:val="00FE07C0"/>
    <w:rsid w:val="00FE1CD7"/>
    <w:rsid w:val="00FE202F"/>
    <w:rsid w:val="00FE20F4"/>
    <w:rsid w:val="00FE2CB0"/>
    <w:rsid w:val="00FE4940"/>
    <w:rsid w:val="00FE633D"/>
    <w:rsid w:val="00FE63C6"/>
    <w:rsid w:val="00FE6D66"/>
    <w:rsid w:val="00FF0704"/>
    <w:rsid w:val="00FF0744"/>
    <w:rsid w:val="00FF07A5"/>
    <w:rsid w:val="00FF08FA"/>
    <w:rsid w:val="00FF11A4"/>
    <w:rsid w:val="00FF1659"/>
    <w:rsid w:val="00FF1E9C"/>
    <w:rsid w:val="00FF1EA0"/>
    <w:rsid w:val="00FF21CD"/>
    <w:rsid w:val="00FF30F1"/>
    <w:rsid w:val="00FF33DF"/>
    <w:rsid w:val="00FF3A16"/>
    <w:rsid w:val="00FF4CCF"/>
    <w:rsid w:val="00FF5229"/>
    <w:rsid w:val="00FF5254"/>
    <w:rsid w:val="00FF73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9D33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1" w:defUIPriority="99" w:defSemiHidden="1" w:defUnhideWhenUsed="1" w:defQFormat="0" w:count="276">
    <w:lsdException w:name="Normal" w:locked="0" w:semiHidden="0" w:uiPriority="0" w:unhideWhenUsed="0"/>
    <w:lsdException w:name="heading 1" w:locked="0" w:semiHidden="0" w:uiPriority="9" w:unhideWhenUsed="0" w:qFormat="1"/>
    <w:lsdException w:name="heading 2" w:locked="0" w:uiPriority="9"/>
    <w:lsdException w:name="heading 3" w:locked="0" w:uiPriority="9"/>
    <w:lsdException w:name="heading 4" w:locked="0" w:uiPriority="9"/>
    <w:lsdException w:name="heading 5" w:locked="0" w:uiPriority="9"/>
    <w:lsdException w:name="heading 6" w:uiPriority="9" w:qFormat="1"/>
    <w:lsdException w:name="heading 7" w:uiPriority="9" w:qFormat="1"/>
    <w:lsdException w:name="heading 8" w:uiPriority="9" w:qFormat="1"/>
    <w:lsdException w:name="heading 9" w:uiPriority="9" w:qFormat="1"/>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uiPriority="0"/>
    <w:lsdException w:name="annotation text" w:locked="0"/>
    <w:lsdException w:name="header" w:locked="0" w:uiPriority="0"/>
    <w:lsdException w:name="footer" w:locked="0" w:uiPriority="0"/>
    <w:lsdException w:name="caption" w:locked="0" w:uiPriority="35" w:qFormat="1"/>
    <w:lsdException w:name="annotation reference" w:locked="0"/>
    <w:lsdException w:name="page number" w:locked="0" w:uiPriority="0"/>
    <w:lsdException w:name="Title" w:semiHidden="0" w:uiPriority="10" w:unhideWhenUsed="0"/>
    <w:lsdException w:name="Default Paragraph Font" w:locked="0" w:uiPriority="1"/>
    <w:lsdException w:name="Body Text" w:locked="0" w:uiPriority="0"/>
    <w:lsdException w:name="Subtitle" w:semiHidden="0" w:uiPriority="11" w:unhideWhenUsed="0"/>
    <w:lsdException w:name="Hyperlink" w:locked="0"/>
    <w:lsdException w:name="FollowedHyperlink" w:locked="0"/>
    <w:lsdException w:name="Strong" w:semiHidden="0" w:uiPriority="22" w:unhideWhenUsed="0"/>
    <w:lsdException w:name="Emphasis" w:semiHidden="0" w:uiPriority="2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locked="0"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locked="0" w:semiHidden="0" w:uiPriority="1" w:unhideWhenUsed="0"/>
    <w:lsdException w:name="Light Shading" w:locked="0" w:semiHidden="0" w:uiPriority="60" w:unhideWhenUsed="0"/>
    <w:lsdException w:name="Light List" w:semiHidden="0" w:uiPriority="61" w:unhideWhenUsed="0"/>
    <w:lsdException w:name="Light Grid" w:locked="0"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locked="0"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locked="0"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rsid w:val="00686AB1"/>
    <w:pPr>
      <w:spacing w:after="0" w:line="288" w:lineRule="auto"/>
    </w:pPr>
    <w:rPr>
      <w:rFonts w:ascii="Arial" w:eastAsia="Times New Roman" w:hAnsi="Arial" w:cs="Times New Roman"/>
      <w:color w:val="000000" w:themeColor="text1"/>
      <w:spacing w:val="4"/>
      <w:sz w:val="20"/>
      <w:szCs w:val="24"/>
      <w:lang w:val="en-GB" w:eastAsia="nl-NL"/>
    </w:rPr>
  </w:style>
  <w:style w:type="paragraph" w:styleId="Heading1">
    <w:name w:val="heading 1"/>
    <w:basedOn w:val="Normal"/>
    <w:next w:val="Normal"/>
    <w:link w:val="Heading1Char"/>
    <w:uiPriority w:val="9"/>
    <w:qFormat/>
    <w:locked/>
    <w:rsid w:val="00F80AD1"/>
    <w:pPr>
      <w:keepNext/>
      <w:keepLines/>
      <w:spacing w:before="480"/>
      <w:outlineLvl w:val="0"/>
    </w:pPr>
    <w:rPr>
      <w:rFonts w:eastAsiaTheme="majorEastAsia" w:cs="Arial"/>
      <w:b/>
      <w:bCs/>
      <w:color w:val="00A651" w:themeColor="accent1"/>
      <w:sz w:val="48"/>
      <w:szCs w:val="48"/>
    </w:rPr>
  </w:style>
  <w:style w:type="paragraph" w:styleId="Heading2">
    <w:name w:val="heading 2"/>
    <w:basedOn w:val="NoSpacing"/>
    <w:next w:val="Normal"/>
    <w:link w:val="Heading2Char"/>
    <w:uiPriority w:val="9"/>
    <w:unhideWhenUsed/>
    <w:locked/>
    <w:rsid w:val="00D77FF5"/>
    <w:pPr>
      <w:keepNext/>
      <w:keepLines/>
      <w:spacing w:before="240" w:after="120"/>
      <w:outlineLvl w:val="1"/>
    </w:pPr>
    <w:rPr>
      <w:b/>
      <w:color w:val="00A651" w:themeColor="accent1"/>
      <w:sz w:val="28"/>
      <w:szCs w:val="28"/>
    </w:rPr>
  </w:style>
  <w:style w:type="paragraph" w:styleId="Heading3">
    <w:name w:val="heading 3"/>
    <w:basedOn w:val="Normal"/>
    <w:next w:val="Normal"/>
    <w:link w:val="Heading3Char"/>
    <w:uiPriority w:val="9"/>
    <w:unhideWhenUsed/>
    <w:locked/>
    <w:rsid w:val="00552689"/>
    <w:pPr>
      <w:keepNext/>
      <w:keepLines/>
      <w:spacing w:before="300"/>
      <w:outlineLvl w:val="2"/>
    </w:pPr>
    <w:rPr>
      <w:rFonts w:eastAsiaTheme="majorEastAsia" w:cs="Arial"/>
      <w:b/>
      <w:bCs/>
      <w:color w:val="7F7F7F" w:themeColor="text1" w:themeTint="80"/>
      <w:sz w:val="24"/>
    </w:rPr>
  </w:style>
  <w:style w:type="paragraph" w:styleId="Heading4">
    <w:name w:val="heading 4"/>
    <w:basedOn w:val="Normal"/>
    <w:next w:val="Normal"/>
    <w:link w:val="Heading4Char"/>
    <w:uiPriority w:val="9"/>
    <w:unhideWhenUsed/>
    <w:locked/>
    <w:rsid w:val="0086446F"/>
    <w:pPr>
      <w:keepNext/>
      <w:keepLines/>
      <w:spacing w:before="240"/>
      <w:outlineLvl w:val="3"/>
    </w:pPr>
    <w:rPr>
      <w:b/>
    </w:rPr>
  </w:style>
  <w:style w:type="paragraph" w:styleId="Heading5">
    <w:name w:val="heading 5"/>
    <w:basedOn w:val="Normal"/>
    <w:next w:val="Normal"/>
    <w:link w:val="Heading5Char"/>
    <w:uiPriority w:val="9"/>
    <w:semiHidden/>
    <w:unhideWhenUsed/>
    <w:locked/>
    <w:rsid w:val="006B0B24"/>
    <w:pPr>
      <w:keepNext/>
      <w:keepLines/>
      <w:spacing w:before="200"/>
      <w:outlineLvl w:val="4"/>
    </w:pPr>
    <w:rPr>
      <w:rFonts w:asciiTheme="majorHAnsi" w:eastAsiaTheme="majorEastAsia" w:hAnsiTheme="majorHAnsi" w:cstheme="majorBidi"/>
      <w:color w:val="00522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0AD1"/>
    <w:rPr>
      <w:rFonts w:ascii="Arial" w:eastAsiaTheme="majorEastAsia" w:hAnsi="Arial" w:cs="Arial"/>
      <w:b/>
      <w:bCs/>
      <w:color w:val="00A651" w:themeColor="accent1"/>
      <w:spacing w:val="4"/>
      <w:sz w:val="48"/>
      <w:szCs w:val="48"/>
      <w:lang w:val="en-GB" w:eastAsia="nl-NL"/>
    </w:rPr>
  </w:style>
  <w:style w:type="paragraph" w:styleId="NoSpacing">
    <w:name w:val="No Spacing"/>
    <w:uiPriority w:val="1"/>
    <w:locked/>
    <w:rsid w:val="006B0B24"/>
    <w:pPr>
      <w:spacing w:after="0"/>
    </w:pPr>
    <w:rPr>
      <w:rFonts w:ascii="Arial" w:hAnsi="Arial"/>
      <w:color w:val="000000" w:themeColor="text1"/>
      <w:sz w:val="20"/>
    </w:rPr>
  </w:style>
  <w:style w:type="character" w:customStyle="1" w:styleId="Heading2Char">
    <w:name w:val="Heading 2 Char"/>
    <w:basedOn w:val="DefaultParagraphFont"/>
    <w:link w:val="Heading2"/>
    <w:uiPriority w:val="9"/>
    <w:rsid w:val="00D77FF5"/>
    <w:rPr>
      <w:rFonts w:ascii="Arial" w:hAnsi="Arial"/>
      <w:b/>
      <w:color w:val="00A651" w:themeColor="accent1"/>
      <w:sz w:val="28"/>
      <w:szCs w:val="28"/>
    </w:rPr>
  </w:style>
  <w:style w:type="character" w:customStyle="1" w:styleId="Heading3Char">
    <w:name w:val="Heading 3 Char"/>
    <w:basedOn w:val="DefaultParagraphFont"/>
    <w:link w:val="Heading3"/>
    <w:uiPriority w:val="9"/>
    <w:rsid w:val="00552689"/>
    <w:rPr>
      <w:rFonts w:ascii="Arial" w:eastAsiaTheme="majorEastAsia" w:hAnsi="Arial" w:cs="Arial"/>
      <w:b/>
      <w:bCs/>
      <w:color w:val="7F7F7F" w:themeColor="text1" w:themeTint="80"/>
      <w:spacing w:val="4"/>
      <w:sz w:val="24"/>
      <w:szCs w:val="24"/>
      <w:lang w:val="en-GB" w:eastAsia="nl-NL"/>
    </w:rPr>
  </w:style>
  <w:style w:type="character" w:customStyle="1" w:styleId="Heading4Char">
    <w:name w:val="Heading 4 Char"/>
    <w:basedOn w:val="DefaultParagraphFont"/>
    <w:link w:val="Heading4"/>
    <w:uiPriority w:val="9"/>
    <w:rsid w:val="0086446F"/>
    <w:rPr>
      <w:rFonts w:ascii="Arial" w:eastAsia="Times New Roman" w:hAnsi="Arial" w:cs="Times New Roman"/>
      <w:b/>
      <w:color w:val="000000" w:themeColor="text1"/>
      <w:spacing w:val="4"/>
      <w:sz w:val="20"/>
      <w:szCs w:val="24"/>
      <w:lang w:val="en-GB" w:eastAsia="nl-NL"/>
    </w:rPr>
  </w:style>
  <w:style w:type="character" w:customStyle="1" w:styleId="Heading5Char">
    <w:name w:val="Heading 5 Char"/>
    <w:basedOn w:val="DefaultParagraphFont"/>
    <w:link w:val="Heading5"/>
    <w:uiPriority w:val="9"/>
    <w:semiHidden/>
    <w:rsid w:val="006B0B24"/>
    <w:rPr>
      <w:rFonts w:asciiTheme="majorHAnsi" w:eastAsiaTheme="majorEastAsia" w:hAnsiTheme="majorHAnsi" w:cstheme="majorBidi"/>
      <w:color w:val="005228" w:themeColor="accent1" w:themeShade="7F"/>
      <w:spacing w:val="4"/>
      <w:sz w:val="20"/>
      <w:szCs w:val="24"/>
      <w:lang w:val="en-GB" w:eastAsia="nl-NL"/>
    </w:rPr>
  </w:style>
  <w:style w:type="paragraph" w:styleId="Header">
    <w:name w:val="header"/>
    <w:basedOn w:val="Normal"/>
    <w:link w:val="HeaderChar"/>
    <w:unhideWhenUsed/>
    <w:locked/>
    <w:rsid w:val="00466926"/>
    <w:pPr>
      <w:tabs>
        <w:tab w:val="center" w:pos="4536"/>
        <w:tab w:val="right" w:pos="9072"/>
      </w:tabs>
      <w:spacing w:line="240" w:lineRule="auto"/>
    </w:pPr>
  </w:style>
  <w:style w:type="character" w:customStyle="1" w:styleId="HeaderChar">
    <w:name w:val="Header Char"/>
    <w:basedOn w:val="DefaultParagraphFont"/>
    <w:link w:val="Header"/>
    <w:uiPriority w:val="99"/>
    <w:rsid w:val="00466926"/>
  </w:style>
  <w:style w:type="paragraph" w:styleId="Footer">
    <w:name w:val="footer"/>
    <w:basedOn w:val="Normal"/>
    <w:link w:val="FooterChar"/>
    <w:unhideWhenUsed/>
    <w:locked/>
    <w:rsid w:val="00466926"/>
    <w:pPr>
      <w:tabs>
        <w:tab w:val="center" w:pos="4536"/>
        <w:tab w:val="right" w:pos="9072"/>
      </w:tabs>
      <w:spacing w:line="240" w:lineRule="auto"/>
    </w:pPr>
  </w:style>
  <w:style w:type="character" w:customStyle="1" w:styleId="FooterChar">
    <w:name w:val="Footer Char"/>
    <w:basedOn w:val="DefaultParagraphFont"/>
    <w:link w:val="Footer"/>
    <w:rsid w:val="00466926"/>
  </w:style>
  <w:style w:type="paragraph" w:styleId="BalloonText">
    <w:name w:val="Balloon Text"/>
    <w:basedOn w:val="Normal"/>
    <w:link w:val="BalloonTextChar"/>
    <w:uiPriority w:val="99"/>
    <w:semiHidden/>
    <w:unhideWhenUsed/>
    <w:locked/>
    <w:rsid w:val="0046692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926"/>
    <w:rPr>
      <w:rFonts w:ascii="Tahoma" w:hAnsi="Tahoma" w:cs="Tahoma"/>
      <w:sz w:val="16"/>
      <w:szCs w:val="16"/>
    </w:rPr>
  </w:style>
  <w:style w:type="paragraph" w:styleId="BodyText">
    <w:name w:val="Body Text"/>
    <w:link w:val="BodyTextChar1"/>
    <w:locked/>
    <w:rsid w:val="00ED1AF8"/>
    <w:pPr>
      <w:spacing w:after="0" w:line="288" w:lineRule="auto"/>
    </w:pPr>
    <w:rPr>
      <w:rFonts w:ascii="Arial" w:eastAsia="Times New Roman" w:hAnsi="Arial" w:cs="Times New Roman"/>
      <w:color w:val="000000" w:themeColor="text1"/>
      <w:spacing w:val="4"/>
      <w:sz w:val="20"/>
      <w:szCs w:val="24"/>
      <w:lang w:val="en-GB" w:eastAsia="nl-NL"/>
    </w:rPr>
  </w:style>
  <w:style w:type="character" w:customStyle="1" w:styleId="BodyTextChar1">
    <w:name w:val="Body Text Char1"/>
    <w:basedOn w:val="DefaultParagraphFont"/>
    <w:link w:val="BodyText"/>
    <w:rsid w:val="00ED1AF8"/>
    <w:rPr>
      <w:rFonts w:ascii="Arial" w:eastAsia="Times New Roman" w:hAnsi="Arial" w:cs="Times New Roman"/>
      <w:color w:val="000000" w:themeColor="text1"/>
      <w:spacing w:val="4"/>
      <w:sz w:val="20"/>
      <w:szCs w:val="24"/>
      <w:lang w:val="en-GB" w:eastAsia="nl-NL"/>
    </w:rPr>
  </w:style>
  <w:style w:type="table" w:styleId="TableGrid">
    <w:name w:val="Table Grid"/>
    <w:basedOn w:val="TableNormal"/>
    <w:locked/>
    <w:rsid w:val="00EE3F2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locked/>
    <w:rsid w:val="00EE3F2A"/>
    <w:pPr>
      <w:ind w:left="720"/>
      <w:contextualSpacing/>
    </w:pPr>
  </w:style>
  <w:style w:type="character" w:customStyle="1" w:styleId="ListParagraphChar">
    <w:name w:val="List Paragraph Char"/>
    <w:basedOn w:val="DefaultParagraphFont"/>
    <w:link w:val="ListParagraph"/>
    <w:uiPriority w:val="34"/>
    <w:rsid w:val="0018190B"/>
    <w:rPr>
      <w:rFonts w:ascii="Arial" w:eastAsia="Times New Roman" w:hAnsi="Arial" w:cs="Times New Roman"/>
      <w:spacing w:val="4"/>
      <w:sz w:val="20"/>
      <w:szCs w:val="24"/>
      <w:lang w:val="en-GB" w:eastAsia="nl-NL"/>
    </w:rPr>
  </w:style>
  <w:style w:type="paragraph" w:customStyle="1" w:styleId="Subbullets">
    <w:name w:val="Subbullets"/>
    <w:basedOn w:val="Bullets"/>
    <w:locked/>
    <w:rsid w:val="004F624B"/>
    <w:pPr>
      <w:numPr>
        <w:ilvl w:val="1"/>
      </w:numPr>
      <w:ind w:left="1134" w:hanging="425"/>
    </w:pPr>
  </w:style>
  <w:style w:type="paragraph" w:customStyle="1" w:styleId="Bullets">
    <w:name w:val="Bullets"/>
    <w:basedOn w:val="ListParagraph"/>
    <w:link w:val="BulletsCar"/>
    <w:locked/>
    <w:rsid w:val="004F624B"/>
    <w:pPr>
      <w:numPr>
        <w:numId w:val="3"/>
      </w:numPr>
      <w:tabs>
        <w:tab w:val="left" w:pos="2268"/>
      </w:tabs>
      <w:ind w:left="714" w:hanging="357"/>
    </w:pPr>
    <w:rPr>
      <w:szCs w:val="20"/>
    </w:rPr>
  </w:style>
  <w:style w:type="character" w:customStyle="1" w:styleId="BulletsCar">
    <w:name w:val="Bullets Car"/>
    <w:basedOn w:val="ListParagraphChar"/>
    <w:link w:val="Bullets"/>
    <w:rsid w:val="0018190B"/>
    <w:rPr>
      <w:rFonts w:ascii="Arial" w:eastAsia="Times New Roman" w:hAnsi="Arial" w:cs="Times New Roman"/>
      <w:color w:val="000000" w:themeColor="text1"/>
      <w:spacing w:val="4"/>
      <w:sz w:val="20"/>
      <w:szCs w:val="20"/>
      <w:lang w:val="en-GB" w:eastAsia="nl-NL"/>
    </w:rPr>
  </w:style>
  <w:style w:type="paragraph" w:customStyle="1" w:styleId="ActionStyle">
    <w:name w:val="ActionStyle"/>
    <w:basedOn w:val="Heading4"/>
    <w:locked/>
    <w:rsid w:val="006B0B24"/>
    <w:pPr>
      <w:numPr>
        <w:numId w:val="5"/>
      </w:numPr>
    </w:pPr>
  </w:style>
  <w:style w:type="paragraph" w:customStyle="1" w:styleId="Numberingintables">
    <w:name w:val="Numbering in tables"/>
    <w:basedOn w:val="Normal"/>
    <w:locked/>
    <w:rsid w:val="006B0B24"/>
    <w:pPr>
      <w:numPr>
        <w:numId w:val="1"/>
      </w:numPr>
      <w:tabs>
        <w:tab w:val="left" w:pos="2268"/>
      </w:tabs>
      <w:ind w:left="357" w:hanging="357"/>
    </w:pPr>
  </w:style>
  <w:style w:type="paragraph" w:customStyle="1" w:styleId="Bulletsintables">
    <w:name w:val="Bullets in tables"/>
    <w:basedOn w:val="Normal"/>
    <w:link w:val="BulletsintablesCar"/>
    <w:locked/>
    <w:rsid w:val="006B0B24"/>
    <w:pPr>
      <w:numPr>
        <w:numId w:val="2"/>
      </w:numPr>
      <w:tabs>
        <w:tab w:val="left" w:pos="2268"/>
      </w:tabs>
      <w:ind w:left="714" w:hanging="357"/>
    </w:pPr>
  </w:style>
  <w:style w:type="character" w:customStyle="1" w:styleId="BulletsintablesCar">
    <w:name w:val="Bullets in tables Car"/>
    <w:basedOn w:val="DefaultParagraphFont"/>
    <w:link w:val="Bulletsintables"/>
    <w:rsid w:val="0018190B"/>
    <w:rPr>
      <w:rFonts w:ascii="Arial" w:eastAsia="Times New Roman" w:hAnsi="Arial" w:cs="Times New Roman"/>
      <w:color w:val="000000" w:themeColor="text1"/>
      <w:spacing w:val="4"/>
      <w:sz w:val="20"/>
      <w:szCs w:val="24"/>
      <w:lang w:val="en-GB" w:eastAsia="nl-NL"/>
    </w:rPr>
  </w:style>
  <w:style w:type="paragraph" w:customStyle="1" w:styleId="Heading2withnumbering">
    <w:name w:val="Heading 2 with numbering"/>
    <w:basedOn w:val="Heading2"/>
    <w:link w:val="Heading2withnumberingCar"/>
    <w:locked/>
    <w:rsid w:val="00282B8D"/>
    <w:rPr>
      <w:lang w:val="en-GB"/>
    </w:rPr>
  </w:style>
  <w:style w:type="character" w:customStyle="1" w:styleId="Heading2withnumberingCar">
    <w:name w:val="Heading 2 with numbering Car"/>
    <w:basedOn w:val="Heading2Char"/>
    <w:link w:val="Heading2withnumbering"/>
    <w:rsid w:val="00523F73"/>
    <w:rPr>
      <w:rFonts w:ascii="Arial" w:hAnsi="Arial"/>
      <w:b/>
      <w:color w:val="00A651" w:themeColor="accent1"/>
      <w:sz w:val="28"/>
      <w:szCs w:val="28"/>
      <w:lang w:val="en-GB"/>
    </w:rPr>
  </w:style>
  <w:style w:type="paragraph" w:customStyle="1" w:styleId="Tableheader">
    <w:name w:val="Table header"/>
    <w:basedOn w:val="Normal"/>
    <w:locked/>
    <w:rsid w:val="006B0B24"/>
    <w:pPr>
      <w:tabs>
        <w:tab w:val="left" w:pos="2268"/>
      </w:tabs>
    </w:pPr>
    <w:rPr>
      <w:b/>
    </w:rPr>
  </w:style>
  <w:style w:type="paragraph" w:customStyle="1" w:styleId="Tablecontent">
    <w:name w:val="Table content"/>
    <w:basedOn w:val="Normal"/>
    <w:locked/>
    <w:rsid w:val="006B0B24"/>
    <w:pPr>
      <w:tabs>
        <w:tab w:val="left" w:pos="2268"/>
      </w:tabs>
    </w:pPr>
  </w:style>
  <w:style w:type="paragraph" w:customStyle="1" w:styleId="Heading3withnumbering">
    <w:name w:val="Heading 3 with numbering"/>
    <w:basedOn w:val="Heading3"/>
    <w:link w:val="Heading3withnumberingCar"/>
    <w:locked/>
    <w:rsid w:val="0017124A"/>
    <w:pPr>
      <w:tabs>
        <w:tab w:val="left" w:pos="567"/>
      </w:tabs>
    </w:pPr>
  </w:style>
  <w:style w:type="character" w:customStyle="1" w:styleId="Heading3withnumberingCar">
    <w:name w:val="Heading 3 with numbering Car"/>
    <w:basedOn w:val="Heading3Char"/>
    <w:link w:val="Heading3withnumbering"/>
    <w:rsid w:val="00130AF3"/>
    <w:rPr>
      <w:rFonts w:ascii="Arial" w:eastAsiaTheme="majorEastAsia" w:hAnsi="Arial" w:cs="Arial"/>
      <w:b/>
      <w:bCs/>
      <w:color w:val="7F7F7F" w:themeColor="text1" w:themeTint="80"/>
      <w:spacing w:val="4"/>
      <w:sz w:val="24"/>
      <w:szCs w:val="24"/>
      <w:lang w:val="en-GB" w:eastAsia="nl-NL"/>
    </w:rPr>
  </w:style>
  <w:style w:type="paragraph" w:customStyle="1" w:styleId="Heading4withnumbering">
    <w:name w:val="Heading 4 with numbering"/>
    <w:basedOn w:val="Heading4"/>
    <w:link w:val="Heading4withnumberingCar"/>
    <w:locked/>
    <w:rsid w:val="0017124A"/>
  </w:style>
  <w:style w:type="character" w:customStyle="1" w:styleId="Heading4withnumberingCar">
    <w:name w:val="Heading 4 with numbering Car"/>
    <w:basedOn w:val="Heading4Char"/>
    <w:link w:val="Heading4withnumbering"/>
    <w:rsid w:val="00130AF3"/>
    <w:rPr>
      <w:rFonts w:ascii="Arial" w:eastAsia="Times New Roman" w:hAnsi="Arial" w:cs="Times New Roman"/>
      <w:b/>
      <w:color w:val="000000" w:themeColor="text1"/>
      <w:spacing w:val="4"/>
      <w:sz w:val="20"/>
      <w:szCs w:val="24"/>
      <w:lang w:val="en-GB" w:eastAsia="nl-NL"/>
    </w:rPr>
  </w:style>
  <w:style w:type="character" w:styleId="Hyperlink">
    <w:name w:val="Hyperlink"/>
    <w:basedOn w:val="DefaultParagraphFont"/>
    <w:uiPriority w:val="99"/>
    <w:unhideWhenUsed/>
    <w:locked/>
    <w:rsid w:val="009E2E97"/>
    <w:rPr>
      <w:color w:val="00A651" w:themeColor="hyperlink"/>
      <w:u w:val="single"/>
    </w:rPr>
  </w:style>
  <w:style w:type="paragraph" w:customStyle="1" w:styleId="dottedline">
    <w:name w:val="dotted line"/>
    <w:basedOn w:val="BodyText"/>
    <w:next w:val="BodyText"/>
    <w:link w:val="dottedlineChar"/>
    <w:locked/>
    <w:rsid w:val="00397912"/>
    <w:pPr>
      <w:spacing w:after="360"/>
      <w:jc w:val="both"/>
    </w:pPr>
    <w:rPr>
      <w:spacing w:val="30"/>
      <w:sz w:val="24"/>
    </w:rPr>
  </w:style>
  <w:style w:type="character" w:customStyle="1" w:styleId="dottedlineChar">
    <w:name w:val="dotted line Char"/>
    <w:basedOn w:val="BodyTextChar1"/>
    <w:link w:val="dottedline"/>
    <w:rsid w:val="00397912"/>
    <w:rPr>
      <w:rFonts w:ascii="Arial" w:eastAsia="Times New Roman" w:hAnsi="Arial" w:cs="Times New Roman"/>
      <w:color w:val="000000" w:themeColor="text1"/>
      <w:spacing w:val="30"/>
      <w:sz w:val="24"/>
      <w:szCs w:val="24"/>
      <w:lang w:val="en-GB" w:eastAsia="nl-NL"/>
    </w:rPr>
  </w:style>
  <w:style w:type="paragraph" w:customStyle="1" w:styleId="Header2">
    <w:name w:val="Header 2"/>
    <w:basedOn w:val="BodyText"/>
    <w:locked/>
    <w:rsid w:val="00397912"/>
    <w:pPr>
      <w:spacing w:before="240" w:after="200"/>
    </w:pPr>
    <w:rPr>
      <w:b/>
      <w:bCs/>
      <w:color w:val="auto"/>
    </w:rPr>
  </w:style>
  <w:style w:type="paragraph" w:customStyle="1" w:styleId="Documentsubtitle">
    <w:name w:val="Document subtitle"/>
    <w:basedOn w:val="BodyText"/>
    <w:locked/>
    <w:rsid w:val="00397912"/>
    <w:pPr>
      <w:spacing w:before="240" w:after="120"/>
      <w:jc w:val="both"/>
    </w:pPr>
    <w:rPr>
      <w:color w:val="auto"/>
      <w:sz w:val="28"/>
    </w:rPr>
  </w:style>
  <w:style w:type="paragraph" w:customStyle="1" w:styleId="DocumentTitle">
    <w:name w:val="Document Title"/>
    <w:basedOn w:val="BodyText"/>
    <w:next w:val="Documentsubtitle"/>
    <w:link w:val="DocumentTitleChar"/>
    <w:locked/>
    <w:rsid w:val="00397912"/>
    <w:pPr>
      <w:keepNext/>
      <w:pageBreakBefore/>
      <w:spacing w:before="200"/>
      <w:jc w:val="both"/>
    </w:pPr>
    <w:rPr>
      <w:b/>
      <w:color w:val="009F47"/>
      <w:sz w:val="40"/>
    </w:rPr>
  </w:style>
  <w:style w:type="character" w:customStyle="1" w:styleId="DocumentTitleChar">
    <w:name w:val="Document Title Char"/>
    <w:basedOn w:val="BodyTextChar1"/>
    <w:link w:val="DocumentTitle"/>
    <w:rsid w:val="00397912"/>
    <w:rPr>
      <w:rFonts w:ascii="Arial" w:eastAsia="Times New Roman" w:hAnsi="Arial" w:cs="Times New Roman"/>
      <w:b/>
      <w:color w:val="009F47"/>
      <w:spacing w:val="4"/>
      <w:sz w:val="40"/>
      <w:szCs w:val="24"/>
      <w:lang w:val="en-GB" w:eastAsia="nl-NL"/>
    </w:rPr>
  </w:style>
  <w:style w:type="paragraph" w:customStyle="1" w:styleId="Header1">
    <w:name w:val="Header 1"/>
    <w:basedOn w:val="BodyText"/>
    <w:locked/>
    <w:rsid w:val="00397912"/>
    <w:pPr>
      <w:pageBreakBefore/>
      <w:tabs>
        <w:tab w:val="left" w:pos="6804"/>
      </w:tabs>
      <w:spacing w:before="240" w:after="200"/>
    </w:pPr>
    <w:rPr>
      <w:b/>
      <w:bCs/>
      <w:color w:val="auto"/>
      <w:sz w:val="28"/>
    </w:rPr>
  </w:style>
  <w:style w:type="paragraph" w:styleId="TOC2">
    <w:name w:val="toc 2"/>
    <w:basedOn w:val="BodyText"/>
    <w:next w:val="BodyText"/>
    <w:autoRedefine/>
    <w:uiPriority w:val="39"/>
    <w:rsid w:val="00B80C60"/>
    <w:pPr>
      <w:tabs>
        <w:tab w:val="left" w:pos="800"/>
        <w:tab w:val="right" w:leader="dot" w:pos="9060"/>
      </w:tabs>
      <w:spacing w:before="80" w:after="80"/>
      <w:ind w:left="198"/>
    </w:pPr>
    <w:rPr>
      <w:smallCaps/>
      <w:noProof/>
      <w:szCs w:val="20"/>
    </w:rPr>
  </w:style>
  <w:style w:type="paragraph" w:styleId="TOC1">
    <w:name w:val="toc 1"/>
    <w:basedOn w:val="BodyText"/>
    <w:next w:val="BodyText"/>
    <w:autoRedefine/>
    <w:uiPriority w:val="39"/>
    <w:rsid w:val="004A0EED"/>
    <w:pPr>
      <w:spacing w:before="120" w:after="120"/>
    </w:pPr>
    <w:rPr>
      <w:b/>
      <w:bCs/>
      <w:smallCaps/>
      <w:szCs w:val="20"/>
    </w:rPr>
  </w:style>
  <w:style w:type="paragraph" w:styleId="TOC3">
    <w:name w:val="toc 3"/>
    <w:basedOn w:val="TOC2"/>
    <w:next w:val="Normal"/>
    <w:autoRedefine/>
    <w:uiPriority w:val="39"/>
    <w:rsid w:val="00F70C47"/>
    <w:pPr>
      <w:spacing w:before="0" w:after="0"/>
      <w:ind w:left="403"/>
    </w:pPr>
    <w:rPr>
      <w:i/>
      <w:iCs/>
      <w:smallCaps w:val="0"/>
    </w:rPr>
  </w:style>
  <w:style w:type="paragraph" w:customStyle="1" w:styleId="BodyTextExplanation">
    <w:name w:val="Body Text Explanation"/>
    <w:basedOn w:val="BodyText"/>
    <w:link w:val="BodyTextExplanationCar"/>
    <w:locked/>
    <w:rsid w:val="00086340"/>
    <w:pPr>
      <w:pBdr>
        <w:top w:val="single" w:sz="4" w:space="6" w:color="7F7F7F" w:themeColor="text1" w:themeTint="80"/>
        <w:left w:val="single" w:sz="4" w:space="6" w:color="7F7F7F" w:themeColor="text1" w:themeTint="80"/>
        <w:bottom w:val="single" w:sz="4" w:space="6" w:color="7F7F7F" w:themeColor="text1" w:themeTint="80"/>
        <w:right w:val="single" w:sz="4" w:space="6" w:color="7F7F7F" w:themeColor="text1" w:themeTint="80"/>
      </w:pBdr>
      <w:spacing w:before="240" w:after="120"/>
    </w:pPr>
    <w:rPr>
      <w:i/>
      <w:color w:val="auto"/>
    </w:rPr>
  </w:style>
  <w:style w:type="character" w:customStyle="1" w:styleId="BodyTextExplanationCar">
    <w:name w:val="Body Text Explanation Car"/>
    <w:basedOn w:val="BodyTextChar1"/>
    <w:link w:val="BodyTextExplanation"/>
    <w:rsid w:val="00523F73"/>
    <w:rPr>
      <w:rFonts w:ascii="Arial" w:eastAsia="Times New Roman" w:hAnsi="Arial" w:cs="Times New Roman"/>
      <w:i/>
      <w:color w:val="000000" w:themeColor="text1"/>
      <w:spacing w:val="4"/>
      <w:sz w:val="20"/>
      <w:szCs w:val="24"/>
      <w:lang w:val="en-GB" w:eastAsia="nl-NL"/>
    </w:rPr>
  </w:style>
  <w:style w:type="paragraph" w:customStyle="1" w:styleId="BodyTextFPP">
    <w:name w:val="Body Text FPP"/>
    <w:basedOn w:val="BodyTextExplanation"/>
    <w:locked/>
    <w:rsid w:val="00397912"/>
    <w:pPr>
      <w:pBdr>
        <w:top w:val="single" w:sz="4" w:space="6" w:color="C00000"/>
        <w:left w:val="single" w:sz="4" w:space="6" w:color="C00000"/>
        <w:bottom w:val="single" w:sz="4" w:space="6" w:color="C00000"/>
        <w:right w:val="single" w:sz="4" w:space="6" w:color="C00000"/>
      </w:pBdr>
    </w:pPr>
    <w:rPr>
      <w:color w:val="C00000"/>
    </w:rPr>
  </w:style>
  <w:style w:type="paragraph" w:customStyle="1" w:styleId="BodyTextExplanationBullet">
    <w:name w:val="Body Text Explanation Bullet"/>
    <w:basedOn w:val="BodyTextExplanation"/>
    <w:next w:val="BodyTextExplanation"/>
    <w:link w:val="BodyTextExplanationBulletCar"/>
    <w:locked/>
    <w:rsid w:val="00397912"/>
    <w:pPr>
      <w:numPr>
        <w:numId w:val="8"/>
      </w:numPr>
      <w:spacing w:before="120"/>
      <w:contextualSpacing/>
    </w:pPr>
  </w:style>
  <w:style w:type="character" w:customStyle="1" w:styleId="BodyTextExplanationBulletCar">
    <w:name w:val="Body Text Explanation Bullet Car"/>
    <w:basedOn w:val="BodyTextExplanationCar"/>
    <w:link w:val="BodyTextExplanationBullet"/>
    <w:rsid w:val="00130AF3"/>
    <w:rPr>
      <w:rFonts w:ascii="Arial" w:eastAsia="Times New Roman" w:hAnsi="Arial" w:cs="Times New Roman"/>
      <w:i/>
      <w:color w:val="000000" w:themeColor="text1"/>
      <w:spacing w:val="4"/>
      <w:sz w:val="20"/>
      <w:szCs w:val="24"/>
      <w:lang w:val="en-GB" w:eastAsia="nl-NL"/>
    </w:rPr>
  </w:style>
  <w:style w:type="paragraph" w:customStyle="1" w:styleId="BodyTextCommunity">
    <w:name w:val="Body Text Community"/>
    <w:basedOn w:val="BodyText"/>
    <w:next w:val="BodyText"/>
    <w:link w:val="BodyTextCommunityCar"/>
    <w:locked/>
    <w:rsid w:val="00397912"/>
    <w:pPr>
      <w:pBdr>
        <w:top w:val="single" w:sz="4" w:space="18" w:color="833407" w:themeColor="accent3" w:themeShade="80"/>
        <w:left w:val="single" w:sz="4" w:space="6" w:color="833407" w:themeColor="accent3" w:themeShade="80"/>
        <w:bottom w:val="single" w:sz="4" w:space="18" w:color="833407" w:themeColor="accent3" w:themeShade="80"/>
        <w:right w:val="single" w:sz="4" w:space="6" w:color="833407" w:themeColor="accent3" w:themeShade="80"/>
      </w:pBdr>
      <w:spacing w:before="240" w:after="120"/>
      <w:jc w:val="center"/>
    </w:pPr>
    <w:rPr>
      <w:color w:val="833407" w:themeColor="accent3" w:themeShade="80"/>
    </w:rPr>
  </w:style>
  <w:style w:type="character" w:customStyle="1" w:styleId="BodyTextCommunityCar">
    <w:name w:val="Body Text Community Car"/>
    <w:basedOn w:val="BodyTextChar1"/>
    <w:link w:val="BodyTextCommunity"/>
    <w:rsid w:val="00523F73"/>
    <w:rPr>
      <w:rFonts w:ascii="Arial" w:eastAsia="Times New Roman" w:hAnsi="Arial" w:cs="Times New Roman"/>
      <w:color w:val="833407" w:themeColor="accent3" w:themeShade="80"/>
      <w:spacing w:val="4"/>
      <w:sz w:val="20"/>
      <w:szCs w:val="24"/>
      <w:lang w:val="en-GB" w:eastAsia="nl-NL"/>
    </w:rPr>
  </w:style>
  <w:style w:type="paragraph" w:customStyle="1" w:styleId="BodyTextBullet">
    <w:name w:val="Body Text Bullet"/>
    <w:basedOn w:val="BodyText"/>
    <w:locked/>
    <w:rsid w:val="00397912"/>
    <w:pPr>
      <w:numPr>
        <w:numId w:val="6"/>
      </w:numPr>
      <w:ind w:left="641" w:hanging="357"/>
      <w:jc w:val="both"/>
    </w:pPr>
    <w:rPr>
      <w:color w:val="auto"/>
    </w:rPr>
  </w:style>
  <w:style w:type="paragraph" w:customStyle="1" w:styleId="ProjectTitle">
    <w:name w:val="Project Title"/>
    <w:basedOn w:val="Normal"/>
    <w:locked/>
    <w:rsid w:val="00397912"/>
    <w:pPr>
      <w:keepNext/>
      <w:jc w:val="both"/>
    </w:pPr>
    <w:rPr>
      <w:b/>
      <w:sz w:val="40"/>
    </w:rPr>
  </w:style>
  <w:style w:type="paragraph" w:customStyle="1" w:styleId="BodyTextFPPBullet">
    <w:name w:val="Body Text FPP Bullet"/>
    <w:basedOn w:val="BodyTextFPP"/>
    <w:locked/>
    <w:rsid w:val="00397912"/>
    <w:pPr>
      <w:numPr>
        <w:numId w:val="7"/>
      </w:numPr>
      <w:spacing w:before="0" w:after="0"/>
      <w:ind w:left="357" w:hanging="357"/>
    </w:pPr>
  </w:style>
  <w:style w:type="table" w:customStyle="1" w:styleId="TableBase">
    <w:name w:val="Table Base"/>
    <w:basedOn w:val="TableNormal"/>
    <w:uiPriority w:val="99"/>
    <w:locked/>
    <w:rsid w:val="00397912"/>
    <w:pPr>
      <w:spacing w:after="0" w:line="240" w:lineRule="auto"/>
    </w:pPr>
    <w:rPr>
      <w:rFonts w:ascii="Arial" w:eastAsia="Times New Roman" w:hAnsi="Arial" w:cs="Times New Roman"/>
      <w:sz w:val="20"/>
      <w:szCs w:val="20"/>
      <w:lang w:eastAsia="nl-NL"/>
    </w:rPr>
    <w:tblPr>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0" w:type="dxa"/>
        <w:left w:w="108" w:type="dxa"/>
        <w:bottom w:w="0" w:type="dxa"/>
        <w:right w:w="108" w:type="dxa"/>
      </w:tblCellMar>
    </w:tblPr>
    <w:tblStylePr w:type="firstRow">
      <w:rPr>
        <w:rFonts w:ascii="Arial" w:hAnsi="Arial"/>
        <w:b/>
        <w:sz w:val="20"/>
      </w:rPr>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l2br w:val="nil"/>
          <w:tr2bl w:val="nil"/>
        </w:tcBorders>
        <w:shd w:val="clear" w:color="auto" w:fill="D9D9D9" w:themeFill="background1" w:themeFillShade="D9"/>
      </w:tcPr>
    </w:tblStylePr>
  </w:style>
  <w:style w:type="paragraph" w:styleId="Caption">
    <w:name w:val="caption"/>
    <w:basedOn w:val="ITEACaption"/>
    <w:next w:val="ITEABodyText"/>
    <w:link w:val="CaptionChar"/>
    <w:uiPriority w:val="35"/>
    <w:qFormat/>
    <w:locked/>
    <w:rsid w:val="00DC6B7B"/>
    <w:pPr>
      <w:spacing w:after="240"/>
    </w:pPr>
  </w:style>
  <w:style w:type="paragraph" w:customStyle="1" w:styleId="ITEACaption">
    <w:name w:val="ITEA_Caption"/>
    <w:next w:val="ITEABodyText"/>
    <w:link w:val="ITEACaptionCar"/>
    <w:rsid w:val="00D06A5E"/>
    <w:pPr>
      <w:spacing w:before="120" w:after="120"/>
      <w:jc w:val="center"/>
    </w:pPr>
    <w:rPr>
      <w:rFonts w:ascii="Arial" w:eastAsia="Times New Roman" w:hAnsi="Arial" w:cs="Times New Roman"/>
      <w:bCs/>
      <w:i/>
      <w:color w:val="808080" w:themeColor="background1" w:themeShade="80"/>
      <w:sz w:val="20"/>
      <w:szCs w:val="20"/>
      <w:lang w:val="en-GB" w:eastAsia="nl-NL"/>
    </w:rPr>
  </w:style>
  <w:style w:type="paragraph" w:customStyle="1" w:styleId="ITEABodyText">
    <w:name w:val="ITEA_BodyText"/>
    <w:basedOn w:val="BodyText"/>
    <w:link w:val="ITEABodyTextCar"/>
    <w:qFormat/>
    <w:rsid w:val="00C66A99"/>
    <w:pPr>
      <w:spacing w:after="120"/>
      <w:jc w:val="both"/>
    </w:pPr>
  </w:style>
  <w:style w:type="character" w:customStyle="1" w:styleId="ITEABodyTextCar">
    <w:name w:val="ITEA_BodyText Car"/>
    <w:basedOn w:val="BodyTextChar1"/>
    <w:link w:val="ITEABodyText"/>
    <w:qFormat/>
    <w:rsid w:val="00C66A99"/>
    <w:rPr>
      <w:rFonts w:ascii="Arial" w:eastAsia="Times New Roman" w:hAnsi="Arial" w:cs="Times New Roman"/>
      <w:color w:val="000000" w:themeColor="text1"/>
      <w:spacing w:val="4"/>
      <w:sz w:val="20"/>
      <w:szCs w:val="24"/>
      <w:lang w:val="en-GB" w:eastAsia="nl-NL"/>
    </w:rPr>
  </w:style>
  <w:style w:type="character" w:customStyle="1" w:styleId="ITEACaptionCar">
    <w:name w:val="ITEA_Caption Car"/>
    <w:basedOn w:val="CaptionChar"/>
    <w:link w:val="ITEACaption"/>
    <w:rsid w:val="00D06A5E"/>
    <w:rPr>
      <w:rFonts w:ascii="Arial" w:eastAsia="Times New Roman" w:hAnsi="Arial" w:cs="Times New Roman"/>
      <w:b/>
      <w:bCs/>
      <w:i/>
      <w:color w:val="808080" w:themeColor="background1" w:themeShade="80"/>
      <w:sz w:val="20"/>
      <w:szCs w:val="20"/>
      <w:lang w:val="en-GB" w:eastAsia="nl-NL"/>
    </w:rPr>
  </w:style>
  <w:style w:type="character" w:customStyle="1" w:styleId="CaptionChar">
    <w:name w:val="Caption Char"/>
    <w:basedOn w:val="DefaultParagraphFont"/>
    <w:link w:val="Caption"/>
    <w:uiPriority w:val="99"/>
    <w:rsid w:val="00DC6B7B"/>
    <w:rPr>
      <w:rFonts w:ascii="Arial" w:eastAsia="Times New Roman" w:hAnsi="Arial" w:cs="Times New Roman"/>
      <w:bCs/>
      <w:i/>
      <w:color w:val="808080" w:themeColor="background1" w:themeShade="80"/>
      <w:sz w:val="20"/>
      <w:szCs w:val="20"/>
      <w:lang w:val="en-GB" w:eastAsia="nl-NL"/>
    </w:rPr>
  </w:style>
  <w:style w:type="table" w:customStyle="1" w:styleId="TableBaseRed">
    <w:name w:val="Table Base Red"/>
    <w:basedOn w:val="TableBase"/>
    <w:uiPriority w:val="99"/>
    <w:locked/>
    <w:rsid w:val="00397912"/>
    <w:rPr>
      <w:color w:val="C00000"/>
    </w:rPr>
    <w:tblPr>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0" w:type="dxa"/>
        <w:left w:w="108" w:type="dxa"/>
        <w:bottom w:w="0" w:type="dxa"/>
        <w:right w:w="108" w:type="dxa"/>
      </w:tblCellMar>
    </w:tblPr>
    <w:tblStylePr w:type="firstRow">
      <w:rPr>
        <w:rFonts w:ascii="Arial" w:hAnsi="Arial"/>
        <w:b/>
        <w:sz w:val="20"/>
      </w:rPr>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l2br w:val="nil"/>
          <w:tr2bl w:val="nil"/>
        </w:tcBorders>
        <w:shd w:val="clear" w:color="auto" w:fill="D9D9D9" w:themeFill="background1" w:themeFillShade="D9"/>
      </w:tcPr>
    </w:tblStylePr>
  </w:style>
  <w:style w:type="character" w:styleId="PageNumber">
    <w:name w:val="page number"/>
    <w:basedOn w:val="DefaultParagraphFont"/>
    <w:locked/>
    <w:rsid w:val="00BF5F63"/>
    <w:rPr>
      <w:rFonts w:cs="Times New Roman"/>
    </w:rPr>
  </w:style>
  <w:style w:type="paragraph" w:customStyle="1" w:styleId="BodyTextExplanationsubbullet">
    <w:name w:val="Body Text Explanation subbullet"/>
    <w:basedOn w:val="BodyTextExplanationBullet"/>
    <w:next w:val="BodyTextExplanation"/>
    <w:locked/>
    <w:rsid w:val="00086340"/>
    <w:pPr>
      <w:numPr>
        <w:numId w:val="10"/>
      </w:numPr>
      <w:spacing w:before="0"/>
      <w:ind w:left="425" w:hanging="425"/>
    </w:pPr>
  </w:style>
  <w:style w:type="paragraph" w:customStyle="1" w:styleId="Autogeneratedsection">
    <w:name w:val="Autogenerated section"/>
    <w:basedOn w:val="BodyTextCommunity"/>
    <w:link w:val="AutogeneratedsectionCar"/>
    <w:locked/>
    <w:rsid w:val="005238D9"/>
    <w:pPr>
      <w:pBdr>
        <w:top w:val="single" w:sz="4" w:space="18" w:color="F36F21" w:themeColor="accent3"/>
        <w:left w:val="single" w:sz="4" w:space="6" w:color="F36F21" w:themeColor="accent3"/>
        <w:bottom w:val="single" w:sz="4" w:space="18" w:color="F36F21" w:themeColor="accent3"/>
        <w:right w:val="single" w:sz="4" w:space="6" w:color="F36F21" w:themeColor="accent3"/>
      </w:pBdr>
    </w:pPr>
    <w:rPr>
      <w:color w:val="F36F21" w:themeColor="accent3"/>
    </w:rPr>
  </w:style>
  <w:style w:type="character" w:customStyle="1" w:styleId="AutogeneratedsectionCar">
    <w:name w:val="Autogenerated section Car"/>
    <w:basedOn w:val="BodyTextCommunityCar"/>
    <w:link w:val="Autogeneratedsection"/>
    <w:rsid w:val="00523F73"/>
    <w:rPr>
      <w:rFonts w:ascii="Arial" w:eastAsia="Times New Roman" w:hAnsi="Arial" w:cs="Times New Roman"/>
      <w:color w:val="F36F21" w:themeColor="accent3"/>
      <w:spacing w:val="4"/>
      <w:sz w:val="20"/>
      <w:szCs w:val="24"/>
      <w:lang w:val="en-GB" w:eastAsia="nl-NL"/>
    </w:rPr>
  </w:style>
  <w:style w:type="character" w:styleId="FollowedHyperlink">
    <w:name w:val="FollowedHyperlink"/>
    <w:basedOn w:val="DefaultParagraphFont"/>
    <w:uiPriority w:val="99"/>
    <w:semiHidden/>
    <w:unhideWhenUsed/>
    <w:locked/>
    <w:rsid w:val="007137BF"/>
    <w:rPr>
      <w:color w:val="7F7F7F" w:themeColor="followedHyperlink"/>
      <w:u w:val="single"/>
    </w:rPr>
  </w:style>
  <w:style w:type="character" w:styleId="CommentReference">
    <w:name w:val="annotation reference"/>
    <w:basedOn w:val="DefaultParagraphFont"/>
    <w:uiPriority w:val="99"/>
    <w:semiHidden/>
    <w:unhideWhenUsed/>
    <w:locked/>
    <w:rsid w:val="00462694"/>
    <w:rPr>
      <w:sz w:val="16"/>
      <w:szCs w:val="16"/>
    </w:rPr>
  </w:style>
  <w:style w:type="paragraph" w:styleId="CommentText">
    <w:name w:val="annotation text"/>
    <w:basedOn w:val="Normal"/>
    <w:link w:val="CommentTextChar"/>
    <w:uiPriority w:val="99"/>
    <w:unhideWhenUsed/>
    <w:locked/>
    <w:rsid w:val="00462694"/>
    <w:pPr>
      <w:spacing w:line="240" w:lineRule="auto"/>
    </w:pPr>
    <w:rPr>
      <w:szCs w:val="20"/>
    </w:rPr>
  </w:style>
  <w:style w:type="character" w:customStyle="1" w:styleId="CommentTextChar">
    <w:name w:val="Comment Text Char"/>
    <w:basedOn w:val="DefaultParagraphFont"/>
    <w:link w:val="CommentText"/>
    <w:uiPriority w:val="99"/>
    <w:rsid w:val="00462694"/>
    <w:rPr>
      <w:rFonts w:ascii="Arial" w:eastAsia="Times New Roman" w:hAnsi="Arial" w:cs="Times New Roman"/>
      <w:spacing w:val="4"/>
      <w:sz w:val="20"/>
      <w:szCs w:val="20"/>
      <w:lang w:val="en-GB" w:eastAsia="nl-NL"/>
    </w:rPr>
  </w:style>
  <w:style w:type="paragraph" w:styleId="CommentSubject">
    <w:name w:val="annotation subject"/>
    <w:basedOn w:val="CommentText"/>
    <w:next w:val="CommentText"/>
    <w:link w:val="CommentSubjectChar"/>
    <w:uiPriority w:val="99"/>
    <w:semiHidden/>
    <w:unhideWhenUsed/>
    <w:locked/>
    <w:rsid w:val="00462694"/>
    <w:rPr>
      <w:b/>
      <w:bCs/>
    </w:rPr>
  </w:style>
  <w:style w:type="character" w:customStyle="1" w:styleId="CommentSubjectChar">
    <w:name w:val="Comment Subject Char"/>
    <w:basedOn w:val="CommentTextChar"/>
    <w:link w:val="CommentSubject"/>
    <w:uiPriority w:val="99"/>
    <w:semiHidden/>
    <w:rsid w:val="00462694"/>
    <w:rPr>
      <w:rFonts w:ascii="Arial" w:eastAsia="Times New Roman" w:hAnsi="Arial" w:cs="Times New Roman"/>
      <w:b/>
      <w:bCs/>
      <w:spacing w:val="4"/>
      <w:sz w:val="20"/>
      <w:szCs w:val="20"/>
      <w:lang w:val="en-GB" w:eastAsia="nl-NL"/>
    </w:rPr>
  </w:style>
  <w:style w:type="paragraph" w:customStyle="1" w:styleId="ITEAHeading0">
    <w:name w:val="ITEA_Heading_0"/>
    <w:basedOn w:val="Heading2"/>
    <w:next w:val="ITEABodyText"/>
    <w:link w:val="ITEAHeading0Car"/>
    <w:qFormat/>
    <w:rsid w:val="00ED317B"/>
    <w:pPr>
      <w:pageBreakBefore/>
      <w:spacing w:before="0" w:after="360"/>
    </w:pPr>
  </w:style>
  <w:style w:type="character" w:customStyle="1" w:styleId="ITEAHeading0Car">
    <w:name w:val="ITEA_Heading_0 Car"/>
    <w:basedOn w:val="Heading2Char"/>
    <w:link w:val="ITEAHeading0"/>
    <w:rsid w:val="00ED317B"/>
    <w:rPr>
      <w:rFonts w:ascii="Arial" w:hAnsi="Arial"/>
      <w:b/>
      <w:color w:val="00A651" w:themeColor="accent1"/>
      <w:sz w:val="28"/>
      <w:szCs w:val="28"/>
    </w:rPr>
  </w:style>
  <w:style w:type="paragraph" w:customStyle="1" w:styleId="ITEAHeading1">
    <w:name w:val="ITEA_Heading_1"/>
    <w:basedOn w:val="Heading2withnumbering"/>
    <w:next w:val="ITEABodyText"/>
    <w:link w:val="ITEAHeading1Car"/>
    <w:qFormat/>
    <w:rsid w:val="00ED317B"/>
    <w:pPr>
      <w:pageBreakBefore/>
      <w:numPr>
        <w:numId w:val="4"/>
      </w:numPr>
      <w:spacing w:before="0" w:after="360"/>
    </w:pPr>
  </w:style>
  <w:style w:type="character" w:customStyle="1" w:styleId="ITEAHeading1Car">
    <w:name w:val="ITEA_Heading_1 Car"/>
    <w:basedOn w:val="Heading2withnumberingCar"/>
    <w:link w:val="ITEAHeading1"/>
    <w:rsid w:val="00ED317B"/>
    <w:rPr>
      <w:rFonts w:ascii="Arial" w:hAnsi="Arial"/>
      <w:b/>
      <w:color w:val="00A651" w:themeColor="accent1"/>
      <w:sz w:val="28"/>
      <w:szCs w:val="28"/>
      <w:lang w:val="en-GB"/>
    </w:rPr>
  </w:style>
  <w:style w:type="paragraph" w:customStyle="1" w:styleId="ITEAInstructions">
    <w:name w:val="ITEA_Instructions"/>
    <w:basedOn w:val="BodyTextExplanation"/>
    <w:link w:val="ITEAInstructionsCar"/>
    <w:qFormat/>
    <w:rsid w:val="005E777A"/>
    <w:rPr>
      <w:color w:val="00602B"/>
    </w:rPr>
  </w:style>
  <w:style w:type="character" w:customStyle="1" w:styleId="ITEAInstructionsCar">
    <w:name w:val="ITEA_Instructions Car"/>
    <w:basedOn w:val="BodyTextExplanationCar"/>
    <w:link w:val="ITEAInstructions"/>
    <w:rsid w:val="005E777A"/>
    <w:rPr>
      <w:rFonts w:ascii="Arial" w:eastAsia="Times New Roman" w:hAnsi="Arial" w:cs="Times New Roman"/>
      <w:i/>
      <w:color w:val="00602B"/>
      <w:spacing w:val="4"/>
      <w:sz w:val="20"/>
      <w:szCs w:val="24"/>
      <w:lang w:val="en-GB" w:eastAsia="nl-NL"/>
    </w:rPr>
  </w:style>
  <w:style w:type="paragraph" w:customStyle="1" w:styleId="ITEAAutoGeneratedSection">
    <w:name w:val="ITEA_AutoGeneratedSection"/>
    <w:basedOn w:val="Autogeneratedsection"/>
    <w:link w:val="ITEAAutoGeneratedSectionCar"/>
    <w:qFormat/>
    <w:rsid w:val="009238EC"/>
    <w:pPr>
      <w:jc w:val="left"/>
    </w:pPr>
  </w:style>
  <w:style w:type="character" w:customStyle="1" w:styleId="ITEAAutoGeneratedSectionCar">
    <w:name w:val="ITEA_AutoGeneratedSection Car"/>
    <w:basedOn w:val="AutogeneratedsectionCar"/>
    <w:link w:val="ITEAAutoGeneratedSection"/>
    <w:rsid w:val="009238EC"/>
    <w:rPr>
      <w:rFonts w:ascii="Arial" w:eastAsia="Times New Roman" w:hAnsi="Arial" w:cs="Times New Roman"/>
      <w:color w:val="F36F21" w:themeColor="accent3"/>
      <w:spacing w:val="4"/>
      <w:sz w:val="20"/>
      <w:szCs w:val="24"/>
      <w:lang w:val="en-GB" w:eastAsia="nl-NL"/>
    </w:rPr>
  </w:style>
  <w:style w:type="paragraph" w:customStyle="1" w:styleId="ITEAInstructionsBullet">
    <w:name w:val="ITEA_InstructionsBullet"/>
    <w:basedOn w:val="BodyTextExplanationBullet"/>
    <w:link w:val="ITEAInstructionsBulletCar"/>
    <w:qFormat/>
    <w:rsid w:val="005E777A"/>
    <w:pPr>
      <w:numPr>
        <w:numId w:val="9"/>
      </w:numPr>
    </w:pPr>
    <w:rPr>
      <w:color w:val="00602B"/>
    </w:rPr>
  </w:style>
  <w:style w:type="character" w:customStyle="1" w:styleId="ITEAInstructionsBulletCar">
    <w:name w:val="ITEA_InstructionsBullet Car"/>
    <w:basedOn w:val="BodyTextExplanationBulletCar"/>
    <w:link w:val="ITEAInstructionsBullet"/>
    <w:rsid w:val="005E777A"/>
    <w:rPr>
      <w:rFonts w:ascii="Arial" w:eastAsia="Times New Roman" w:hAnsi="Arial" w:cs="Times New Roman"/>
      <w:i/>
      <w:color w:val="00602B"/>
      <w:spacing w:val="4"/>
      <w:sz w:val="20"/>
      <w:szCs w:val="24"/>
      <w:lang w:val="en-GB" w:eastAsia="nl-NL"/>
    </w:rPr>
  </w:style>
  <w:style w:type="paragraph" w:customStyle="1" w:styleId="ITEAHeading2">
    <w:name w:val="ITEA_Heading_2"/>
    <w:basedOn w:val="Heading3withnumbering"/>
    <w:next w:val="ITEABodyText"/>
    <w:link w:val="ITEAHeading2Car"/>
    <w:qFormat/>
    <w:rsid w:val="00F876CD"/>
    <w:pPr>
      <w:numPr>
        <w:ilvl w:val="1"/>
        <w:numId w:val="4"/>
      </w:numPr>
      <w:spacing w:before="240" w:after="240"/>
    </w:pPr>
  </w:style>
  <w:style w:type="character" w:customStyle="1" w:styleId="ITEAHeading2Car">
    <w:name w:val="ITEA_Heading_2 Car"/>
    <w:basedOn w:val="Heading3withnumberingCar"/>
    <w:link w:val="ITEAHeading2"/>
    <w:rsid w:val="00F876CD"/>
    <w:rPr>
      <w:rFonts w:ascii="Arial" w:eastAsiaTheme="majorEastAsia" w:hAnsi="Arial" w:cs="Arial"/>
      <w:b/>
      <w:bCs/>
      <w:color w:val="7F7F7F" w:themeColor="text1" w:themeTint="80"/>
      <w:spacing w:val="4"/>
      <w:sz w:val="24"/>
      <w:szCs w:val="24"/>
      <w:lang w:val="en-GB" w:eastAsia="nl-NL"/>
    </w:rPr>
  </w:style>
  <w:style w:type="paragraph" w:customStyle="1" w:styleId="ITEAHeading3">
    <w:name w:val="ITEA_Heading_3"/>
    <w:basedOn w:val="Heading4withnumbering"/>
    <w:next w:val="ITEABodyText"/>
    <w:link w:val="ITEAHeading3Car"/>
    <w:qFormat/>
    <w:rsid w:val="00F876CD"/>
    <w:pPr>
      <w:numPr>
        <w:ilvl w:val="2"/>
        <w:numId w:val="4"/>
      </w:numPr>
      <w:spacing w:before="200" w:after="160"/>
      <w:ind w:left="794"/>
    </w:pPr>
  </w:style>
  <w:style w:type="character" w:customStyle="1" w:styleId="ITEAHeading3Car">
    <w:name w:val="ITEA_Heading_3 Car"/>
    <w:basedOn w:val="Heading4withnumberingCar"/>
    <w:link w:val="ITEAHeading3"/>
    <w:rsid w:val="00F876CD"/>
    <w:rPr>
      <w:rFonts w:ascii="Arial" w:eastAsia="Times New Roman" w:hAnsi="Arial" w:cs="Times New Roman"/>
      <w:b/>
      <w:color w:val="000000" w:themeColor="text1"/>
      <w:spacing w:val="4"/>
      <w:sz w:val="20"/>
      <w:szCs w:val="24"/>
      <w:lang w:val="en-GB" w:eastAsia="nl-NL"/>
    </w:rPr>
  </w:style>
  <w:style w:type="paragraph" w:customStyle="1" w:styleId="ITEAAnnexHeading1">
    <w:name w:val="ITEA_Annex_Heading_1"/>
    <w:basedOn w:val="Heading2"/>
    <w:link w:val="ITEAAnnexHeading1Car"/>
    <w:qFormat/>
    <w:rsid w:val="001658F2"/>
    <w:pPr>
      <w:pageBreakBefore/>
      <w:numPr>
        <w:numId w:val="11"/>
      </w:numPr>
    </w:pPr>
    <w:rPr>
      <w:lang w:val="en-GB"/>
    </w:rPr>
  </w:style>
  <w:style w:type="character" w:customStyle="1" w:styleId="ITEAAnnexHeading1Car">
    <w:name w:val="ITEA_Annex_Heading_1 Car"/>
    <w:basedOn w:val="Heading2Char"/>
    <w:link w:val="ITEAAnnexHeading1"/>
    <w:rsid w:val="001658F2"/>
    <w:rPr>
      <w:rFonts w:ascii="Arial" w:hAnsi="Arial"/>
      <w:b/>
      <w:color w:val="00A651" w:themeColor="accent1"/>
      <w:sz w:val="28"/>
      <w:szCs w:val="28"/>
      <w:lang w:val="en-GB"/>
    </w:rPr>
  </w:style>
  <w:style w:type="paragraph" w:customStyle="1" w:styleId="ITEABodyBullets">
    <w:name w:val="ITEA_BodyBullets"/>
    <w:basedOn w:val="Bullets"/>
    <w:link w:val="ITEABodyBulletsCar"/>
    <w:qFormat/>
    <w:rsid w:val="0018190B"/>
  </w:style>
  <w:style w:type="character" w:customStyle="1" w:styleId="ITEABodyBulletsCar">
    <w:name w:val="ITEA_BodyBullets Car"/>
    <w:basedOn w:val="BulletsCar"/>
    <w:link w:val="ITEABodyBullets"/>
    <w:rsid w:val="0018190B"/>
    <w:rPr>
      <w:rFonts w:ascii="Arial" w:eastAsia="Times New Roman" w:hAnsi="Arial" w:cs="Times New Roman"/>
      <w:color w:val="000000" w:themeColor="text1"/>
      <w:spacing w:val="4"/>
      <w:sz w:val="20"/>
      <w:szCs w:val="20"/>
      <w:lang w:val="en-GB" w:eastAsia="nl-NL"/>
    </w:rPr>
  </w:style>
  <w:style w:type="paragraph" w:customStyle="1" w:styleId="ITEATableBullets">
    <w:name w:val="ITEA_TableBullets"/>
    <w:basedOn w:val="Bulletsintables"/>
    <w:link w:val="ITEATableBulletsCar"/>
    <w:qFormat/>
    <w:rsid w:val="0018190B"/>
  </w:style>
  <w:style w:type="character" w:customStyle="1" w:styleId="ITEATableBulletsCar">
    <w:name w:val="ITEA_TableBullets Car"/>
    <w:basedOn w:val="BulletsintablesCar"/>
    <w:link w:val="ITEATableBullets"/>
    <w:rsid w:val="0018190B"/>
    <w:rPr>
      <w:rFonts w:ascii="Arial" w:eastAsia="Times New Roman" w:hAnsi="Arial" w:cs="Times New Roman"/>
      <w:color w:val="000000" w:themeColor="text1"/>
      <w:spacing w:val="4"/>
      <w:sz w:val="20"/>
      <w:szCs w:val="24"/>
      <w:lang w:val="en-GB" w:eastAsia="nl-NL"/>
    </w:rPr>
  </w:style>
  <w:style w:type="paragraph" w:customStyle="1" w:styleId="ITEAFigure">
    <w:name w:val="ITEA_Figure"/>
    <w:basedOn w:val="ITEABodyText"/>
    <w:link w:val="ITEAFigureCar"/>
    <w:qFormat/>
    <w:rsid w:val="00963638"/>
    <w:pPr>
      <w:spacing w:before="240"/>
      <w:jc w:val="center"/>
    </w:pPr>
  </w:style>
  <w:style w:type="character" w:customStyle="1" w:styleId="ITEAFigureCar">
    <w:name w:val="ITEA_Figure Car"/>
    <w:basedOn w:val="ITEABodyTextCar"/>
    <w:link w:val="ITEAFigure"/>
    <w:rsid w:val="00963638"/>
    <w:rPr>
      <w:rFonts w:ascii="Arial" w:eastAsia="Times New Roman" w:hAnsi="Arial" w:cs="Times New Roman"/>
      <w:color w:val="000000" w:themeColor="text1"/>
      <w:spacing w:val="4"/>
      <w:sz w:val="20"/>
      <w:szCs w:val="24"/>
      <w:lang w:val="en-GB" w:eastAsia="nl-NL"/>
    </w:rPr>
  </w:style>
  <w:style w:type="paragraph" w:styleId="TOCHeading">
    <w:name w:val="TOC Heading"/>
    <w:basedOn w:val="Heading1"/>
    <w:next w:val="Normal"/>
    <w:uiPriority w:val="39"/>
    <w:unhideWhenUsed/>
    <w:qFormat/>
    <w:locked/>
    <w:rsid w:val="007052B0"/>
    <w:pPr>
      <w:spacing w:line="276" w:lineRule="auto"/>
      <w:outlineLvl w:val="9"/>
    </w:pPr>
    <w:rPr>
      <w:rFonts w:asciiTheme="majorHAnsi" w:hAnsiTheme="majorHAnsi" w:cstheme="majorBidi"/>
      <w:color w:val="007C3C" w:themeColor="accent1" w:themeShade="BF"/>
      <w:spacing w:val="0"/>
      <w:sz w:val="28"/>
      <w:szCs w:val="28"/>
      <w:lang w:eastAsia="en-GB"/>
    </w:rPr>
  </w:style>
  <w:style w:type="paragraph" w:styleId="TOC4">
    <w:name w:val="toc 4"/>
    <w:basedOn w:val="Normal"/>
    <w:next w:val="Normal"/>
    <w:autoRedefine/>
    <w:uiPriority w:val="39"/>
    <w:unhideWhenUsed/>
    <w:rsid w:val="002C034A"/>
    <w:pPr>
      <w:ind w:left="600"/>
    </w:pPr>
    <w:rPr>
      <w:sz w:val="18"/>
      <w:szCs w:val="18"/>
    </w:rPr>
  </w:style>
  <w:style w:type="paragraph" w:styleId="TOC5">
    <w:name w:val="toc 5"/>
    <w:basedOn w:val="Normal"/>
    <w:next w:val="Normal"/>
    <w:autoRedefine/>
    <w:uiPriority w:val="39"/>
    <w:unhideWhenUsed/>
    <w:locked/>
    <w:rsid w:val="00660309"/>
    <w:pPr>
      <w:ind w:left="800"/>
    </w:pPr>
    <w:rPr>
      <w:sz w:val="18"/>
      <w:szCs w:val="18"/>
    </w:rPr>
  </w:style>
  <w:style w:type="paragraph" w:styleId="TOC6">
    <w:name w:val="toc 6"/>
    <w:basedOn w:val="Normal"/>
    <w:next w:val="Normal"/>
    <w:autoRedefine/>
    <w:uiPriority w:val="39"/>
    <w:unhideWhenUsed/>
    <w:locked/>
    <w:rsid w:val="007052B0"/>
    <w:pPr>
      <w:ind w:left="1000"/>
    </w:pPr>
    <w:rPr>
      <w:rFonts w:asciiTheme="minorHAnsi" w:hAnsiTheme="minorHAnsi"/>
      <w:sz w:val="18"/>
      <w:szCs w:val="18"/>
    </w:rPr>
  </w:style>
  <w:style w:type="paragraph" w:styleId="TOC7">
    <w:name w:val="toc 7"/>
    <w:basedOn w:val="Normal"/>
    <w:next w:val="Normal"/>
    <w:autoRedefine/>
    <w:uiPriority w:val="39"/>
    <w:unhideWhenUsed/>
    <w:locked/>
    <w:rsid w:val="007052B0"/>
    <w:pPr>
      <w:ind w:left="1200"/>
    </w:pPr>
    <w:rPr>
      <w:rFonts w:asciiTheme="minorHAnsi" w:hAnsiTheme="minorHAnsi"/>
      <w:sz w:val="18"/>
      <w:szCs w:val="18"/>
    </w:rPr>
  </w:style>
  <w:style w:type="paragraph" w:styleId="TOC8">
    <w:name w:val="toc 8"/>
    <w:basedOn w:val="Normal"/>
    <w:next w:val="Normal"/>
    <w:autoRedefine/>
    <w:uiPriority w:val="39"/>
    <w:unhideWhenUsed/>
    <w:locked/>
    <w:rsid w:val="007052B0"/>
    <w:pPr>
      <w:ind w:left="1400"/>
    </w:pPr>
    <w:rPr>
      <w:rFonts w:asciiTheme="minorHAnsi" w:hAnsiTheme="minorHAnsi"/>
      <w:sz w:val="18"/>
      <w:szCs w:val="18"/>
    </w:rPr>
  </w:style>
  <w:style w:type="paragraph" w:styleId="TOC9">
    <w:name w:val="toc 9"/>
    <w:basedOn w:val="Normal"/>
    <w:next w:val="Normal"/>
    <w:autoRedefine/>
    <w:uiPriority w:val="39"/>
    <w:unhideWhenUsed/>
    <w:locked/>
    <w:rsid w:val="007052B0"/>
    <w:pPr>
      <w:ind w:left="1600"/>
    </w:pPr>
    <w:rPr>
      <w:rFonts w:asciiTheme="minorHAnsi" w:hAnsiTheme="minorHAnsi"/>
      <w:sz w:val="18"/>
      <w:szCs w:val="18"/>
    </w:rPr>
  </w:style>
  <w:style w:type="table" w:styleId="MediumShading1-Accent2">
    <w:name w:val="Medium Shading 1 Accent 2"/>
    <w:aliases w:val="ITEA_Table"/>
    <w:basedOn w:val="TableNormal"/>
    <w:uiPriority w:val="63"/>
    <w:rsid w:val="001C2F7B"/>
    <w:pPr>
      <w:spacing w:before="60" w:after="60" w:line="240" w:lineRule="auto"/>
      <w:ind w:left="57" w:right="57"/>
    </w:pPr>
    <w:rPr>
      <w:rFonts w:ascii="Arial" w:hAnsi="Arial"/>
      <w:sz w:val="20"/>
    </w:rPr>
    <w:tblPr>
      <w:tblStyleRowBandSize w:val="1"/>
      <w:jc w:val="center"/>
      <w:tblInd w:w="0" w:type="dxa"/>
      <w:tblBorders>
        <w:top w:val="single" w:sz="4" w:space="0" w:color="808080" w:themeColor="background1" w:themeShade="80"/>
        <w:bottom w:val="single" w:sz="4" w:space="0" w:color="808080" w:themeColor="background1" w:themeShade="80"/>
      </w:tblBorders>
      <w:tblCellMar>
        <w:top w:w="85" w:type="dxa"/>
        <w:left w:w="108" w:type="dxa"/>
        <w:bottom w:w="85" w:type="dxa"/>
        <w:right w:w="108" w:type="dxa"/>
      </w:tblCellMar>
    </w:tblPr>
    <w:trPr>
      <w:jc w:val="center"/>
    </w:trPr>
    <w:tcPr>
      <w:shd w:val="clear" w:color="auto" w:fill="FFFFFF" w:themeFill="background1"/>
    </w:tcPr>
    <w:tblStylePr w:type="firstRow">
      <w:pPr>
        <w:wordWrap/>
        <w:spacing w:before="0" w:beforeAutospacing="0" w:after="0" w:afterAutospacing="0" w:line="240" w:lineRule="auto"/>
        <w:jc w:val="left"/>
      </w:pPr>
      <w:rPr>
        <w:rFonts w:ascii="Arial" w:hAnsi="Arial"/>
        <w:b w:val="0"/>
        <w:bCs/>
        <w:i w:val="0"/>
        <w:color w:val="auto"/>
        <w:sz w:val="22"/>
        <w:u w:val="none"/>
      </w:rPr>
      <w:tblPr>
        <w:tblCellMar>
          <w:top w:w="142" w:type="dxa"/>
          <w:left w:w="108" w:type="dxa"/>
          <w:bottom w:w="142" w:type="dxa"/>
          <w:right w:w="108" w:type="dxa"/>
        </w:tblCellMar>
      </w:tblPr>
      <w:trPr>
        <w:cantSplit/>
        <w:tblHeader/>
      </w:trPr>
      <w:tcPr>
        <w:tcBorders>
          <w:top w:val="single" w:sz="4" w:space="0" w:color="808080" w:themeColor="background1" w:themeShade="80"/>
          <w:left w:val="nil"/>
          <w:bottom w:val="single" w:sz="18" w:space="0" w:color="808080" w:themeColor="background1" w:themeShade="80"/>
          <w:right w:val="nil"/>
          <w:insideH w:val="nil"/>
          <w:insideV w:val="single" w:sz="4" w:space="0" w:color="808080" w:themeColor="background1" w:themeShade="80"/>
          <w:tl2br w:val="nil"/>
          <w:tr2bl w:val="nil"/>
        </w:tcBorders>
        <w:shd w:val="clear" w:color="auto" w:fill="A7D8B8"/>
        <w:vAlign w:val="center"/>
      </w:tcPr>
    </w:tblStylePr>
    <w:tblStylePr w:type="lastRow">
      <w:pPr>
        <w:spacing w:before="0" w:after="0" w:line="240" w:lineRule="auto"/>
      </w:pPr>
      <w:rPr>
        <w:b w:val="0"/>
        <w:bCs/>
      </w:rPr>
      <w:tblPr>
        <w:tblCellMar>
          <w:top w:w="142" w:type="dxa"/>
          <w:left w:w="108" w:type="dxa"/>
          <w:bottom w:w="142" w:type="dxa"/>
          <w:right w:w="108" w:type="dxa"/>
        </w:tblCellMar>
      </w:tblPr>
      <w:tcPr>
        <w:tcBorders>
          <w:top w:val="single" w:sz="18" w:space="0" w:color="808080" w:themeColor="background1" w:themeShade="80"/>
          <w:left w:val="nil"/>
          <w:bottom w:val="single" w:sz="4" w:space="0" w:color="808080" w:themeColor="background1" w:themeShade="80"/>
          <w:right w:val="nil"/>
          <w:insideH w:val="nil"/>
          <w:insideV w:val="single" w:sz="4" w:space="0" w:color="808080" w:themeColor="background1" w:themeShade="80"/>
          <w:tl2br w:val="nil"/>
          <w:tr2bl w:val="nil"/>
        </w:tcBorders>
        <w:shd w:val="clear" w:color="auto" w:fill="A7D8B8"/>
      </w:tcPr>
    </w:tblStylePr>
    <w:tblStylePr w:type="firstCol">
      <w:pPr>
        <w:jc w:val="left"/>
      </w:pPr>
      <w:rPr>
        <w:rFonts w:ascii="Arial" w:hAnsi="Arial"/>
        <w:b w:val="0"/>
        <w:bCs/>
        <w:sz w:val="20"/>
      </w:rPr>
      <w:tblPr/>
      <w:tcPr>
        <w:tcBorders>
          <w:top w:val="single" w:sz="4" w:space="0" w:color="808080" w:themeColor="background1" w:themeShade="80"/>
          <w:left w:val="nil"/>
          <w:bottom w:val="single" w:sz="4" w:space="0" w:color="808080" w:themeColor="background1" w:themeShade="80"/>
          <w:right w:val="single" w:sz="18" w:space="0" w:color="808080" w:themeColor="background1" w:themeShade="80"/>
          <w:insideH w:val="nil"/>
          <w:insideV w:val="nil"/>
          <w:tl2br w:val="nil"/>
          <w:tr2bl w:val="nil"/>
        </w:tcBorders>
        <w:shd w:val="clear" w:color="auto" w:fill="E1E1E1"/>
      </w:tcPr>
    </w:tblStylePr>
    <w:tblStylePr w:type="lastCol">
      <w:rPr>
        <w:rFonts w:ascii="Arial" w:hAnsi="Arial"/>
        <w:b w:val="0"/>
        <w:bCs/>
        <w:sz w:val="20"/>
      </w:rPr>
      <w:tblPr/>
      <w:tcPr>
        <w:tcBorders>
          <w:top w:val="single" w:sz="4" w:space="0" w:color="808080" w:themeColor="background1" w:themeShade="80"/>
          <w:left w:val="single" w:sz="18" w:space="0" w:color="808080" w:themeColor="background1" w:themeShade="80"/>
          <w:bottom w:val="single" w:sz="4" w:space="0" w:color="808080" w:themeColor="background1" w:themeShade="80"/>
          <w:right w:val="nil"/>
          <w:insideH w:val="nil"/>
          <w:insideV w:val="nil"/>
          <w:tl2br w:val="nil"/>
          <w:tr2bl w:val="nil"/>
        </w:tcBorders>
        <w:shd w:val="clear" w:color="auto" w:fill="E1E1E1"/>
      </w:tcPr>
    </w:tblStylePr>
    <w:tblStylePr w:type="band1Horz">
      <w:tblPr/>
      <w:tcPr>
        <w:tcBorders>
          <w:top w:val="single" w:sz="4" w:space="0" w:color="A6A6A6" w:themeColor="background1" w:themeShade="A6"/>
          <w:left w:val="nil"/>
          <w:bottom w:val="single" w:sz="4" w:space="0" w:color="A6A6A6" w:themeColor="background1" w:themeShade="A6"/>
          <w:right w:val="nil"/>
          <w:insideH w:val="nil"/>
          <w:insideV w:val="single" w:sz="4" w:space="0" w:color="A6A6A6" w:themeColor="background1" w:themeShade="A6"/>
          <w:tl2br w:val="nil"/>
          <w:tr2bl w:val="nil"/>
        </w:tcBorders>
        <w:shd w:val="clear" w:color="auto" w:fill="F9F9F9"/>
      </w:tcPr>
    </w:tblStylePr>
    <w:tblStylePr w:type="band2Horz">
      <w:tblPr/>
      <w:tcPr>
        <w:tcBorders>
          <w:top w:val="single" w:sz="4" w:space="0" w:color="A6A6A6" w:themeColor="background1" w:themeShade="A6"/>
          <w:left w:val="nil"/>
          <w:bottom w:val="single" w:sz="4" w:space="0" w:color="A6A6A6" w:themeColor="background1" w:themeShade="A6"/>
          <w:right w:val="nil"/>
          <w:insideH w:val="nil"/>
          <w:insideV w:val="single" w:sz="4" w:space="0" w:color="BFBFBF" w:themeColor="background1" w:themeShade="BF"/>
          <w:tl2br w:val="nil"/>
          <w:tr2bl w:val="nil"/>
        </w:tcBorders>
        <w:shd w:val="clear" w:color="auto" w:fill="FFFFFF" w:themeFill="background1"/>
      </w:tcPr>
    </w:tblStylePr>
    <w:tblStylePr w:type="seCell">
      <w:tblPr/>
      <w:tcPr>
        <w:tcBorders>
          <w:top w:val="single" w:sz="18" w:space="0" w:color="808080" w:themeColor="background1" w:themeShade="80"/>
          <w:left w:val="single" w:sz="4" w:space="0" w:color="808080" w:themeColor="background1" w:themeShade="80"/>
          <w:bottom w:val="single" w:sz="4" w:space="0" w:color="808080" w:themeColor="background1" w:themeShade="80"/>
          <w:right w:val="nil"/>
          <w:insideH w:val="nil"/>
          <w:insideV w:val="nil"/>
          <w:tl2br w:val="nil"/>
          <w:tr2bl w:val="nil"/>
        </w:tcBorders>
        <w:shd w:val="clear" w:color="auto" w:fill="A7D8B8"/>
      </w:tcPr>
    </w:tblStylePr>
  </w:style>
  <w:style w:type="table" w:customStyle="1" w:styleId="HellesRaster1">
    <w:name w:val="Helles Raster1"/>
    <w:basedOn w:val="TableNormal"/>
    <w:uiPriority w:val="62"/>
    <w:locked/>
    <w:rsid w:val="00E74DC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HelleSchattierung-Akzent11">
    <w:name w:val="Helle Schattierung - Akzent 11"/>
    <w:basedOn w:val="TableNormal"/>
    <w:uiPriority w:val="60"/>
    <w:locked/>
    <w:rsid w:val="00E74DCD"/>
    <w:pPr>
      <w:spacing w:after="0" w:line="240" w:lineRule="auto"/>
    </w:pPr>
    <w:rPr>
      <w:color w:val="007C3C" w:themeColor="accent1" w:themeShade="BF"/>
    </w:rPr>
    <w:tblPr>
      <w:tblStyleRowBandSize w:val="1"/>
      <w:tblStyleColBandSize w:val="1"/>
      <w:tblInd w:w="0" w:type="dxa"/>
      <w:tblBorders>
        <w:top w:val="single" w:sz="8" w:space="0" w:color="00A651" w:themeColor="accent1"/>
        <w:bottom w:val="single" w:sz="8" w:space="0" w:color="00A651"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A651" w:themeColor="accent1"/>
          <w:left w:val="nil"/>
          <w:bottom w:val="single" w:sz="8" w:space="0" w:color="00A651" w:themeColor="accent1"/>
          <w:right w:val="nil"/>
          <w:insideH w:val="nil"/>
          <w:insideV w:val="nil"/>
        </w:tcBorders>
      </w:tcPr>
    </w:tblStylePr>
    <w:tblStylePr w:type="lastRow">
      <w:pPr>
        <w:spacing w:before="0" w:after="0" w:line="240" w:lineRule="auto"/>
      </w:pPr>
      <w:rPr>
        <w:b/>
        <w:bCs/>
      </w:rPr>
      <w:tblPr/>
      <w:tcPr>
        <w:tcBorders>
          <w:top w:val="single" w:sz="8" w:space="0" w:color="00A651" w:themeColor="accent1"/>
          <w:left w:val="nil"/>
          <w:bottom w:val="single" w:sz="8" w:space="0" w:color="00A65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FD3" w:themeFill="accent1" w:themeFillTint="3F"/>
      </w:tcPr>
    </w:tblStylePr>
    <w:tblStylePr w:type="band1Horz">
      <w:tblPr/>
      <w:tcPr>
        <w:tcBorders>
          <w:left w:val="nil"/>
          <w:right w:val="nil"/>
          <w:insideH w:val="nil"/>
          <w:insideV w:val="nil"/>
        </w:tcBorders>
        <w:shd w:val="clear" w:color="auto" w:fill="AAFFD3" w:themeFill="accent1" w:themeFillTint="3F"/>
      </w:tcPr>
    </w:tblStylePr>
  </w:style>
  <w:style w:type="paragraph" w:customStyle="1" w:styleId="ITEATableOfContent">
    <w:name w:val="ITEA_TableOfContent"/>
    <w:basedOn w:val="ITEAHeading0"/>
    <w:next w:val="ITEABodyText"/>
    <w:link w:val="ITEATableOfContentCar"/>
    <w:rsid w:val="00ED317B"/>
    <w:pPr>
      <w:outlineLvl w:val="9"/>
    </w:pPr>
  </w:style>
  <w:style w:type="character" w:customStyle="1" w:styleId="ITEATableOfContentCar">
    <w:name w:val="ITEA_TableOfContent Car"/>
    <w:basedOn w:val="ITEAHeading0Car"/>
    <w:link w:val="ITEATableOfContent"/>
    <w:rsid w:val="00ED317B"/>
    <w:rPr>
      <w:rFonts w:ascii="Arial" w:hAnsi="Arial"/>
      <w:b/>
      <w:color w:val="00A651" w:themeColor="accent1"/>
      <w:sz w:val="28"/>
      <w:szCs w:val="28"/>
    </w:rPr>
  </w:style>
  <w:style w:type="paragraph" w:styleId="Revision">
    <w:name w:val="Revision"/>
    <w:hidden/>
    <w:uiPriority w:val="99"/>
    <w:semiHidden/>
    <w:rsid w:val="00597824"/>
    <w:pPr>
      <w:spacing w:after="0" w:line="240" w:lineRule="auto"/>
    </w:pPr>
    <w:rPr>
      <w:rFonts w:ascii="Arial" w:eastAsia="Times New Roman" w:hAnsi="Arial" w:cs="Times New Roman"/>
      <w:color w:val="000000" w:themeColor="text1"/>
      <w:spacing w:val="4"/>
      <w:sz w:val="20"/>
      <w:szCs w:val="24"/>
      <w:lang w:val="en-GB" w:eastAsia="nl-NL"/>
    </w:rPr>
  </w:style>
  <w:style w:type="table" w:customStyle="1" w:styleId="ITEATableTitle">
    <w:name w:val="ITEA_TableTitle"/>
    <w:basedOn w:val="TableNormal"/>
    <w:uiPriority w:val="99"/>
    <w:rsid w:val="00F81F2C"/>
    <w:pPr>
      <w:widowControl w:val="0"/>
      <w:spacing w:after="0" w:line="240" w:lineRule="auto"/>
      <w:jc w:val="center"/>
    </w:pPr>
    <w:rPr>
      <w:rFonts w:ascii="Arial" w:hAnsi="Arial"/>
      <w:smallCaps/>
      <w:color w:val="FFFFFF" w:themeColor="background1"/>
    </w:rPr>
    <w:tblPr>
      <w:tblStyleRowBandSize w:val="1"/>
      <w:jc w:val="center"/>
      <w:tblInd w:w="0" w:type="dxa"/>
      <w:tblBorders>
        <w:top w:val="single" w:sz="4" w:space="0" w:color="808080" w:themeColor="background1" w:themeShade="80"/>
        <w:bottom w:val="single" w:sz="4" w:space="0" w:color="808080" w:themeColor="background1" w:themeShade="80"/>
      </w:tblBorders>
      <w:tblCellMar>
        <w:top w:w="170" w:type="dxa"/>
        <w:left w:w="108" w:type="dxa"/>
        <w:bottom w:w="170" w:type="dxa"/>
        <w:right w:w="108" w:type="dxa"/>
      </w:tblCellMar>
    </w:tblPr>
    <w:trPr>
      <w:jc w:val="center"/>
    </w:trPr>
    <w:tcPr>
      <w:shd w:val="clear" w:color="auto" w:fill="FFFFFF" w:themeFill="background1"/>
      <w:vAlign w:val="center"/>
    </w:tcPr>
    <w:tblStylePr w:type="firstRow">
      <w:pPr>
        <w:keepNext w:val="0"/>
        <w:keepLines w:val="0"/>
        <w:pageBreakBefore w:val="0"/>
        <w:widowControl w:val="0"/>
        <w:suppressLineNumbers w:val="0"/>
        <w:suppressAutoHyphens w:val="0"/>
        <w:wordWrap/>
        <w:spacing w:beforeLines="0" w:beforeAutospacing="0" w:afterLines="0" w:afterAutospacing="0" w:line="240" w:lineRule="auto"/>
        <w:ind w:leftChars="0" w:left="0" w:rightChars="0" w:right="0" w:firstLineChars="0" w:firstLine="0"/>
        <w:contextualSpacing w:val="0"/>
        <w:jc w:val="center"/>
        <w:outlineLvl w:val="9"/>
      </w:pPr>
      <w:rPr>
        <w:rFonts w:ascii="Arial" w:hAnsi="Arial"/>
        <w:b/>
        <w:caps w:val="0"/>
        <w:smallCaps w:val="0"/>
        <w:strike w:val="0"/>
        <w:dstrike w:val="0"/>
        <w:vanish w:val="0"/>
        <w:color w:val="FFFFFF" w:themeColor="background1"/>
        <w:sz w:val="24"/>
        <w:u w:val="none"/>
        <w:vertAlign w:val="baseline"/>
      </w:rPr>
      <w:tblPr/>
      <w:tcPr>
        <w:shd w:val="clear" w:color="auto" w:fill="42BA7C"/>
      </w:tcPr>
    </w:tblStylePr>
    <w:tblStylePr w:type="lastRow">
      <w:rPr>
        <w:color w:val="FFFFFF" w:themeColor="background1"/>
      </w:rPr>
    </w:tblStylePr>
  </w:style>
  <w:style w:type="paragraph" w:customStyle="1" w:styleId="ITEAInstructionsBullet-within">
    <w:name w:val="ITEA_InstructionsBullet-within"/>
    <w:basedOn w:val="ITEAInstructions"/>
    <w:rsid w:val="0003576E"/>
    <w:pPr>
      <w:numPr>
        <w:numId w:val="12"/>
      </w:numPr>
      <w:spacing w:before="120"/>
      <w:ind w:left="357" w:hanging="357"/>
    </w:pPr>
  </w:style>
  <w:style w:type="paragraph" w:customStyle="1" w:styleId="ITEAAutoGeneratedSection-bullet">
    <w:name w:val="ITEA_AutoGeneratedSection-bullet"/>
    <w:basedOn w:val="ITEAAutoGeneratedSection"/>
    <w:rsid w:val="00A02CCA"/>
    <w:pPr>
      <w:numPr>
        <w:numId w:val="13"/>
      </w:numPr>
      <w:spacing w:before="120"/>
      <w:ind w:left="357" w:hanging="357"/>
    </w:pPr>
  </w:style>
  <w:style w:type="table" w:customStyle="1" w:styleId="HelleSchattierung1">
    <w:name w:val="Helle Schattierung1"/>
    <w:basedOn w:val="TableNormal"/>
    <w:uiPriority w:val="60"/>
    <w:locked/>
    <w:rsid w:val="00F23C1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ITEAHeading2wonum">
    <w:name w:val="ITEA_Heading_2_wo_num"/>
    <w:basedOn w:val="ITEAHeading2"/>
    <w:rsid w:val="00700D91"/>
    <w:pPr>
      <w:numPr>
        <w:ilvl w:val="0"/>
        <w:numId w:val="0"/>
      </w:numPr>
    </w:pPr>
  </w:style>
  <w:style w:type="paragraph" w:customStyle="1" w:styleId="ITEAHeading4">
    <w:name w:val="ITEA_Heading_4"/>
    <w:basedOn w:val="ITEAHeading3"/>
    <w:next w:val="ITEABodyText"/>
    <w:rsid w:val="00AF323F"/>
    <w:pPr>
      <w:numPr>
        <w:ilvl w:val="3"/>
      </w:numPr>
      <w:spacing w:before="160" w:after="120"/>
    </w:pPr>
    <w:rPr>
      <w:color w:val="7F7F7F"/>
    </w:rPr>
  </w:style>
  <w:style w:type="paragraph" w:customStyle="1" w:styleId="ITEATitle">
    <w:name w:val="ITEA_Title"/>
    <w:basedOn w:val="ITEABodyText"/>
    <w:link w:val="ITEATitleCar"/>
    <w:qFormat/>
    <w:rsid w:val="00676F0D"/>
    <w:pPr>
      <w:spacing w:before="480"/>
    </w:pPr>
    <w:rPr>
      <w:b/>
      <w:color w:val="00B050"/>
      <w:sz w:val="48"/>
      <w:szCs w:val="48"/>
    </w:rPr>
  </w:style>
  <w:style w:type="character" w:customStyle="1" w:styleId="ITEATitleCar">
    <w:name w:val="ITEA_Title Car"/>
    <w:basedOn w:val="ITEABodyTextCar"/>
    <w:link w:val="ITEATitle"/>
    <w:rsid w:val="00676F0D"/>
    <w:rPr>
      <w:rFonts w:ascii="Arial" w:eastAsia="Times New Roman" w:hAnsi="Arial" w:cs="Times New Roman"/>
      <w:b/>
      <w:color w:val="00B050"/>
      <w:spacing w:val="4"/>
      <w:sz w:val="48"/>
      <w:szCs w:val="48"/>
      <w:lang w:val="en-GB" w:eastAsia="nl-NL"/>
    </w:rPr>
  </w:style>
  <w:style w:type="paragraph" w:customStyle="1" w:styleId="ITEASubTitle">
    <w:name w:val="ITEA_SubTitle"/>
    <w:basedOn w:val="Normal"/>
    <w:rsid w:val="00246F8D"/>
    <w:rPr>
      <w:color w:val="auto"/>
      <w:sz w:val="36"/>
    </w:rPr>
  </w:style>
  <w:style w:type="paragraph" w:customStyle="1" w:styleId="ITEAHeadingTableOfContents">
    <w:name w:val="ITEA_Heading_TableOfContents"/>
    <w:basedOn w:val="Heading2"/>
    <w:next w:val="ITEABodyText"/>
    <w:rsid w:val="00D87520"/>
    <w:pPr>
      <w:numPr>
        <w:numId w:val="14"/>
      </w:numPr>
      <w:spacing w:before="360" w:after="360"/>
    </w:pPr>
  </w:style>
  <w:style w:type="paragraph" w:customStyle="1" w:styleId="ITEAHeading0-bis">
    <w:name w:val="ITEA_Heading_0-bis"/>
    <w:basedOn w:val="ITEAHeading1"/>
    <w:next w:val="ITEABodyText"/>
    <w:locked/>
    <w:rsid w:val="00244204"/>
  </w:style>
  <w:style w:type="paragraph" w:customStyle="1" w:styleId="ITEAHeading5">
    <w:name w:val="ITEA_Heading_5"/>
    <w:basedOn w:val="ITEAHeading4"/>
    <w:next w:val="ITEABodyBullets"/>
    <w:locked/>
    <w:rsid w:val="00D001BC"/>
    <w:rPr>
      <w:color w:val="00A651" w:themeColor="accent1"/>
      <w:sz w:val="28"/>
    </w:rPr>
  </w:style>
  <w:style w:type="paragraph" w:customStyle="1" w:styleId="ITEATM1">
    <w:name w:val="ITEA_TM1"/>
    <w:basedOn w:val="TOC1"/>
    <w:locked/>
    <w:rsid w:val="00B80C60"/>
    <w:pPr>
      <w:tabs>
        <w:tab w:val="left" w:pos="1200"/>
        <w:tab w:val="right" w:leader="dot" w:pos="9060"/>
      </w:tabs>
    </w:pPr>
    <w:rPr>
      <w:noProof/>
      <w:color w:val="00A651" w:themeColor="accent1"/>
    </w:rPr>
  </w:style>
  <w:style w:type="paragraph" w:customStyle="1" w:styleId="ITEATM2">
    <w:name w:val="ITEA_TM2"/>
    <w:basedOn w:val="TOC2"/>
    <w:locked/>
    <w:rsid w:val="00B80C60"/>
    <w:rPr>
      <w:color w:val="00A651" w:themeColor="accent1"/>
    </w:rPr>
  </w:style>
  <w:style w:type="paragraph" w:customStyle="1" w:styleId="ITEATM3">
    <w:name w:val="ITEA_TM3"/>
    <w:basedOn w:val="TOC3"/>
    <w:locked/>
    <w:rsid w:val="00B80C60"/>
    <w:pPr>
      <w:tabs>
        <w:tab w:val="left" w:pos="1200"/>
      </w:tabs>
    </w:pPr>
    <w:rPr>
      <w:color w:val="00A651" w:themeColor="accent1"/>
    </w:rPr>
  </w:style>
  <w:style w:type="paragraph" w:customStyle="1" w:styleId="ITEASubTitle2">
    <w:name w:val="ITEA_SubTitle2"/>
    <w:basedOn w:val="ITEASubTitle"/>
    <w:next w:val="ITEABodyText"/>
    <w:rsid w:val="00246F8D"/>
    <w:rPr>
      <w:color w:val="7F7F7F" w:themeColor="accent2"/>
      <w:sz w:val="28"/>
      <w:szCs w:val="28"/>
    </w:rPr>
  </w:style>
  <w:style w:type="table" w:customStyle="1" w:styleId="TestStyle">
    <w:name w:val="TestStyle"/>
    <w:basedOn w:val="TableTheme"/>
    <w:uiPriority w:val="99"/>
    <w:rsid w:val="00BB24C9"/>
    <w:pPr>
      <w:spacing w:line="240" w:lineRule="auto"/>
    </w:pPr>
    <w:rPr>
      <w:rFonts w:ascii="Calibri" w:hAnsi="Calibri"/>
    </w:rPr>
    <w:tblPr>
      <w:tblInd w:w="0" w:type="dxa"/>
      <w:tblBorders>
        <w:top w:val="single" w:sz="8" w:space="0" w:color="6ED09A"/>
        <w:left w:val="single" w:sz="8" w:space="0" w:color="6ED09A"/>
        <w:bottom w:val="single" w:sz="8" w:space="0" w:color="6ED09A"/>
        <w:right w:val="single" w:sz="8" w:space="0" w:color="6ED09A"/>
        <w:insideH w:val="single" w:sz="8" w:space="0" w:color="6ED09A"/>
        <w:insideV w:val="single" w:sz="8" w:space="0" w:color="6ED09A"/>
      </w:tblBorders>
      <w:tblCellMar>
        <w:top w:w="0" w:type="dxa"/>
        <w:left w:w="108" w:type="dxa"/>
        <w:bottom w:w="0" w:type="dxa"/>
        <w:right w:w="108" w:type="dxa"/>
      </w:tblCellMar>
    </w:tblPr>
  </w:style>
  <w:style w:type="table" w:styleId="TableTheme">
    <w:name w:val="Table Theme"/>
    <w:basedOn w:val="TableNormal"/>
    <w:uiPriority w:val="99"/>
    <w:semiHidden/>
    <w:unhideWhenUsed/>
    <w:locked/>
    <w:rsid w:val="00BB24C9"/>
    <w:pPr>
      <w:spacing w:after="0" w:line="288"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72E2"/>
    <w:pPr>
      <w:autoSpaceDE w:val="0"/>
      <w:autoSpaceDN w:val="0"/>
      <w:adjustRightInd w:val="0"/>
      <w:spacing w:after="0" w:line="240" w:lineRule="auto"/>
    </w:pPr>
    <w:rPr>
      <w:rFonts w:ascii="Arial" w:hAnsi="Arial" w:cs="Arial"/>
      <w:color w:val="000000"/>
      <w:sz w:val="24"/>
      <w:szCs w:val="24"/>
      <w:lang w:val="en-US"/>
    </w:rPr>
  </w:style>
  <w:style w:type="paragraph" w:styleId="NormalWeb">
    <w:name w:val="Normal (Web)"/>
    <w:basedOn w:val="Normal"/>
    <w:uiPriority w:val="99"/>
    <w:semiHidden/>
    <w:unhideWhenUsed/>
    <w:locked/>
    <w:rsid w:val="009772E2"/>
    <w:pPr>
      <w:spacing w:before="100" w:beforeAutospacing="1" w:after="100" w:afterAutospacing="1" w:line="240" w:lineRule="auto"/>
    </w:pPr>
    <w:rPr>
      <w:rFonts w:ascii="Times New Roman" w:hAnsi="Times New Roman"/>
      <w:color w:val="auto"/>
      <w:spacing w:val="0"/>
      <w:sz w:val="24"/>
      <w:lang w:val="en-US" w:eastAsia="en-US"/>
    </w:rPr>
  </w:style>
  <w:style w:type="paragraph" w:customStyle="1" w:styleId="Standard1">
    <w:name w:val="Standard1"/>
    <w:rsid w:val="002D1C53"/>
    <w:pPr>
      <w:suppressAutoHyphens/>
      <w:autoSpaceDN w:val="0"/>
      <w:spacing w:after="0" w:line="288" w:lineRule="auto"/>
      <w:textAlignment w:val="baseline"/>
    </w:pPr>
    <w:rPr>
      <w:rFonts w:ascii="Arial" w:eastAsia="Times New Roman" w:hAnsi="Arial" w:cs="Times New Roman"/>
      <w:color w:val="000000"/>
      <w:spacing w:val="4"/>
      <w:kern w:val="3"/>
      <w:sz w:val="20"/>
      <w:szCs w:val="24"/>
      <w:lang w:val="en-GB" w:eastAsia="nl-NL"/>
    </w:rPr>
  </w:style>
  <w:style w:type="paragraph" w:styleId="FootnoteText">
    <w:name w:val="footnote text"/>
    <w:basedOn w:val="Normal"/>
    <w:link w:val="FootnoteTextChar"/>
    <w:uiPriority w:val="99"/>
    <w:unhideWhenUsed/>
    <w:locked/>
    <w:rsid w:val="00FF4CCF"/>
    <w:pPr>
      <w:spacing w:line="240" w:lineRule="auto"/>
    </w:pPr>
    <w:rPr>
      <w:sz w:val="24"/>
    </w:rPr>
  </w:style>
  <w:style w:type="character" w:customStyle="1" w:styleId="FootnoteTextChar">
    <w:name w:val="Footnote Text Char"/>
    <w:basedOn w:val="DefaultParagraphFont"/>
    <w:link w:val="FootnoteText"/>
    <w:uiPriority w:val="99"/>
    <w:rsid w:val="00FF4CCF"/>
    <w:rPr>
      <w:rFonts w:ascii="Arial" w:eastAsia="Times New Roman" w:hAnsi="Arial" w:cs="Times New Roman"/>
      <w:color w:val="000000" w:themeColor="text1"/>
      <w:spacing w:val="4"/>
      <w:sz w:val="24"/>
      <w:szCs w:val="24"/>
      <w:lang w:val="en-GB" w:eastAsia="nl-NL"/>
    </w:rPr>
  </w:style>
  <w:style w:type="character" w:styleId="FootnoteReference">
    <w:name w:val="footnote reference"/>
    <w:aliases w:val="Footnote symbol,Times 10 Point,Exposant 3 Point, Exposant 3 Point"/>
    <w:basedOn w:val="DefaultParagraphFont"/>
    <w:uiPriority w:val="99"/>
    <w:unhideWhenUsed/>
    <w:locked/>
    <w:rsid w:val="00FF4CCF"/>
    <w:rPr>
      <w:vertAlign w:val="superscript"/>
    </w:rPr>
  </w:style>
  <w:style w:type="character" w:customStyle="1" w:styleId="InternetLink">
    <w:name w:val="Internet Link"/>
    <w:rsid w:val="00520839"/>
    <w:rPr>
      <w:color w:val="000080"/>
      <w:u w:val="single"/>
    </w:rPr>
  </w:style>
  <w:style w:type="paragraph" w:customStyle="1" w:styleId="Corpsdetexte1">
    <w:name w:val="Corps de texte1"/>
    <w:basedOn w:val="Normal"/>
    <w:rsid w:val="00721558"/>
    <w:pPr>
      <w:suppressAutoHyphens/>
      <w:overflowPunct w:val="0"/>
    </w:pPr>
    <w:rPr>
      <w:color w:val="000000"/>
    </w:rPr>
  </w:style>
  <w:style w:type="paragraph" w:customStyle="1" w:styleId="Corpsdetexte2">
    <w:name w:val="Corps de texte2"/>
    <w:basedOn w:val="Normal"/>
    <w:link w:val="BodyTextChar"/>
    <w:locked/>
    <w:rsid w:val="00721558"/>
    <w:pPr>
      <w:suppressAutoHyphens/>
    </w:pPr>
  </w:style>
  <w:style w:type="character" w:customStyle="1" w:styleId="BodyTextChar">
    <w:name w:val="Body Text Char"/>
    <w:basedOn w:val="DefaultParagraphFont"/>
    <w:link w:val="Corpsdetexte2"/>
    <w:rsid w:val="005E1BC9"/>
    <w:rPr>
      <w:rFonts w:ascii="Arial" w:eastAsia="Times New Roman" w:hAnsi="Arial" w:cs="Times New Roman"/>
      <w:color w:val="000000" w:themeColor="text1"/>
      <w:spacing w:val="4"/>
      <w:sz w:val="20"/>
      <w:szCs w:val="24"/>
      <w:lang w:val="en-GB" w:eastAsia="nl-NL"/>
    </w:rPr>
  </w:style>
  <w:style w:type="paragraph" w:customStyle="1" w:styleId="BBU">
    <w:name w:val="BBU"/>
    <w:qFormat/>
    <w:rsid w:val="005E1BC9"/>
    <w:pPr>
      <w:suppressAutoHyphens/>
      <w:spacing w:before="120" w:after="120" w:line="240" w:lineRule="auto"/>
    </w:pPr>
    <w:rPr>
      <w:rFonts w:ascii="Arial" w:eastAsia="Times New Roman" w:hAnsi="Arial" w:cs="Times New Roman"/>
      <w:b/>
      <w:bCs/>
      <w:spacing w:val="4"/>
      <w:sz w:val="20"/>
      <w:szCs w:val="24"/>
      <w:u w:val="single"/>
      <w:lang w:val="en-IE" w:eastAsia="nl-NL"/>
    </w:rPr>
  </w:style>
  <w:style w:type="paragraph" w:customStyle="1" w:styleId="TaskBodyText">
    <w:name w:val="Task Body Text"/>
    <w:basedOn w:val="Corpsdetexte2"/>
    <w:qFormat/>
    <w:rsid w:val="005E1BC9"/>
    <w:pPr>
      <w:widowControl w:val="0"/>
      <w:spacing w:before="120" w:after="120" w:line="240" w:lineRule="auto"/>
      <w:ind w:left="720"/>
      <w:jc w:val="both"/>
    </w:pPr>
    <w:rPr>
      <w:szCs w:val="20"/>
    </w:rPr>
  </w:style>
  <w:style w:type="paragraph" w:customStyle="1" w:styleId="ASSUMEDeliverableTitle">
    <w:name w:val="ASSUME_Deliverable_Title"/>
    <w:basedOn w:val="ITEATitle"/>
    <w:rsid w:val="00C14377"/>
    <w:pPr>
      <w:spacing w:before="2480"/>
    </w:pPr>
  </w:style>
  <w:style w:type="paragraph" w:styleId="NormalIndent">
    <w:name w:val="Normal Indent"/>
    <w:aliases w:val="Char,Char Char,Standardeinzug Char Char Char Char Char,Standardeinzug Char Char Char Char,Char Char Char,Char Char Char Char Char, Char Char Char Char Char Char,Normal Indent Char, Char, Char Char Char, Char Char Char Char Char"/>
    <w:basedOn w:val="Normal"/>
    <w:link w:val="NormalIndentChar1"/>
    <w:locked/>
    <w:rsid w:val="00ED193F"/>
    <w:pPr>
      <w:spacing w:after="60" w:line="240" w:lineRule="auto"/>
      <w:jc w:val="both"/>
    </w:pPr>
    <w:rPr>
      <w:color w:val="auto"/>
      <w:spacing w:val="0"/>
      <w:lang w:eastAsia="de-DE"/>
    </w:rPr>
  </w:style>
  <w:style w:type="paragraph" w:customStyle="1" w:styleId="Title1">
    <w:name w:val="Title 1"/>
    <w:basedOn w:val="Normal"/>
    <w:rsid w:val="00ED193F"/>
    <w:pPr>
      <w:spacing w:before="800" w:after="200" w:line="240" w:lineRule="auto"/>
      <w:jc w:val="right"/>
    </w:pPr>
    <w:rPr>
      <w:b/>
      <w:color w:val="auto"/>
      <w:spacing w:val="0"/>
      <w:sz w:val="52"/>
      <w:lang w:eastAsia="de-DE"/>
    </w:rPr>
  </w:style>
  <w:style w:type="paragraph" w:customStyle="1" w:styleId="Title2">
    <w:name w:val="Title 2"/>
    <w:basedOn w:val="Title1"/>
    <w:rsid w:val="00ED193F"/>
    <w:pPr>
      <w:spacing w:before="200" w:after="100"/>
    </w:pPr>
    <w:rPr>
      <w:b w:val="0"/>
    </w:rPr>
  </w:style>
  <w:style w:type="paragraph" w:customStyle="1" w:styleId="TableBody">
    <w:name w:val="TableBody"/>
    <w:basedOn w:val="Normal"/>
    <w:rsid w:val="00ED193F"/>
    <w:pPr>
      <w:spacing w:before="60" w:after="40" w:line="240" w:lineRule="auto"/>
    </w:pPr>
    <w:rPr>
      <w:color w:val="auto"/>
      <w:spacing w:val="0"/>
      <w:sz w:val="22"/>
      <w:szCs w:val="22"/>
      <w:lang w:val="en-US" w:eastAsia="en-US"/>
    </w:rPr>
  </w:style>
  <w:style w:type="character" w:customStyle="1" w:styleId="NormalIndentChar1">
    <w:name w:val="Normal Indent Char1"/>
    <w:aliases w:val="Char Char1,Char Char Char1,Standardeinzug Char Char Char Char Char Char,Standardeinzug Char Char Char Char Char1,Char Char Char Char,Char Char Char Char Char Char, Char Char Char Char Char Char Char,Normal Indent Char Char, Char Char"/>
    <w:link w:val="NormalIndent"/>
    <w:rsid w:val="00ED193F"/>
    <w:rPr>
      <w:rFonts w:ascii="Arial" w:eastAsia="Times New Roman" w:hAnsi="Arial" w:cs="Times New Roman"/>
      <w:sz w:val="20"/>
      <w:szCs w:val="24"/>
      <w:lang w:val="en-GB" w:eastAsia="de-DE"/>
    </w:rPr>
  </w:style>
  <w:style w:type="paragraph" w:styleId="TableofFigures">
    <w:name w:val="table of figures"/>
    <w:basedOn w:val="TOC1"/>
    <w:next w:val="TOC2"/>
    <w:uiPriority w:val="99"/>
    <w:unhideWhenUsed/>
    <w:locked/>
    <w:rsid w:val="00503B13"/>
  </w:style>
  <w:style w:type="paragraph" w:customStyle="1" w:styleId="Literaturverzeichnis1">
    <w:name w:val="Literaturverzeichnis1"/>
    <w:basedOn w:val="Normal"/>
    <w:rsid w:val="002A59CE"/>
    <w:pPr>
      <w:keepLines/>
      <w:numPr>
        <w:numId w:val="15"/>
      </w:numPr>
      <w:spacing w:before="80" w:after="80" w:line="240" w:lineRule="auto"/>
      <w:jc w:val="both"/>
      <w:outlineLvl w:val="0"/>
    </w:pPr>
    <w:rPr>
      <w:bCs/>
      <w:color w:val="auto"/>
      <w:spacing w:val="0"/>
      <w:kern w:val="28"/>
      <w:sz w:val="22"/>
      <w:szCs w:val="32"/>
      <w:lang w:val="en-US" w:eastAsia="de-DE"/>
    </w:rPr>
  </w:style>
  <w:style w:type="numbering" w:customStyle="1" w:styleId="StyleNumberedBefore0cmHanging1cm1">
    <w:name w:val="Style Numbered Before:  0 cm Hanging:  1 cm1"/>
    <w:basedOn w:val="NoList"/>
    <w:rsid w:val="002A59CE"/>
    <w:pPr>
      <w:numPr>
        <w:numId w:val="16"/>
      </w:numPr>
    </w:pPr>
  </w:style>
  <w:style w:type="paragraph" w:styleId="Bibliography">
    <w:name w:val="Bibliography"/>
    <w:basedOn w:val="Normal"/>
    <w:next w:val="Normal"/>
    <w:uiPriority w:val="37"/>
    <w:unhideWhenUsed/>
    <w:locked/>
    <w:rsid w:val="00BC76B6"/>
  </w:style>
  <w:style w:type="character" w:customStyle="1" w:styleId="hps">
    <w:name w:val="hps"/>
    <w:basedOn w:val="DefaultParagraphFont"/>
    <w:rsid w:val="000E0600"/>
  </w:style>
  <w:style w:type="paragraph" w:styleId="DocumentMap">
    <w:name w:val="Document Map"/>
    <w:basedOn w:val="Normal"/>
    <w:link w:val="DocumentMapChar"/>
    <w:uiPriority w:val="99"/>
    <w:semiHidden/>
    <w:unhideWhenUsed/>
    <w:locked/>
    <w:rsid w:val="00FF0704"/>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F0704"/>
    <w:rPr>
      <w:rFonts w:ascii="Tahoma" w:eastAsia="Times New Roman" w:hAnsi="Tahoma" w:cs="Tahoma"/>
      <w:color w:val="000000" w:themeColor="text1"/>
      <w:spacing w:val="4"/>
      <w:sz w:val="16"/>
      <w:szCs w:val="16"/>
      <w:lang w:val="en-GB" w:eastAsia="nl-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1" w:defUIPriority="99" w:defSemiHidden="1" w:defUnhideWhenUsed="1" w:defQFormat="0" w:count="276">
    <w:lsdException w:name="Normal" w:locked="0" w:semiHidden="0" w:uiPriority="0" w:unhideWhenUsed="0"/>
    <w:lsdException w:name="heading 1" w:locked="0" w:semiHidden="0" w:uiPriority="9" w:unhideWhenUsed="0" w:qFormat="1"/>
    <w:lsdException w:name="heading 2" w:locked="0" w:uiPriority="9"/>
    <w:lsdException w:name="heading 3" w:locked="0" w:uiPriority="9"/>
    <w:lsdException w:name="heading 4" w:locked="0" w:uiPriority="9"/>
    <w:lsdException w:name="heading 5" w:locked="0" w:uiPriority="9"/>
    <w:lsdException w:name="heading 6" w:uiPriority="9" w:qFormat="1"/>
    <w:lsdException w:name="heading 7" w:uiPriority="9" w:qFormat="1"/>
    <w:lsdException w:name="heading 8" w:uiPriority="9" w:qFormat="1"/>
    <w:lsdException w:name="heading 9" w:uiPriority="9" w:qFormat="1"/>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uiPriority="0"/>
    <w:lsdException w:name="annotation text" w:locked="0"/>
    <w:lsdException w:name="header" w:locked="0" w:uiPriority="0"/>
    <w:lsdException w:name="footer" w:locked="0" w:uiPriority="0"/>
    <w:lsdException w:name="caption" w:locked="0" w:uiPriority="35" w:qFormat="1"/>
    <w:lsdException w:name="annotation reference" w:locked="0"/>
    <w:lsdException w:name="page number" w:locked="0" w:uiPriority="0"/>
    <w:lsdException w:name="Title" w:semiHidden="0" w:uiPriority="10" w:unhideWhenUsed="0"/>
    <w:lsdException w:name="Default Paragraph Font" w:locked="0" w:uiPriority="1"/>
    <w:lsdException w:name="Body Text" w:locked="0" w:uiPriority="0"/>
    <w:lsdException w:name="Subtitle" w:semiHidden="0" w:uiPriority="11" w:unhideWhenUsed="0"/>
    <w:lsdException w:name="Hyperlink" w:locked="0"/>
    <w:lsdException w:name="FollowedHyperlink" w:locked="0"/>
    <w:lsdException w:name="Strong" w:semiHidden="0" w:uiPriority="22" w:unhideWhenUsed="0"/>
    <w:lsdException w:name="Emphasis" w:semiHidden="0" w:uiPriority="2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locked="0"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locked="0" w:semiHidden="0" w:uiPriority="1" w:unhideWhenUsed="0"/>
    <w:lsdException w:name="Light Shading" w:locked="0" w:semiHidden="0" w:uiPriority="60" w:unhideWhenUsed="0"/>
    <w:lsdException w:name="Light List" w:semiHidden="0" w:uiPriority="61" w:unhideWhenUsed="0"/>
    <w:lsdException w:name="Light Grid" w:locked="0"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locked="0"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locked="0"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rsid w:val="00686AB1"/>
    <w:pPr>
      <w:spacing w:after="0" w:line="288" w:lineRule="auto"/>
    </w:pPr>
    <w:rPr>
      <w:rFonts w:ascii="Arial" w:eastAsia="Times New Roman" w:hAnsi="Arial" w:cs="Times New Roman"/>
      <w:color w:val="000000" w:themeColor="text1"/>
      <w:spacing w:val="4"/>
      <w:sz w:val="20"/>
      <w:szCs w:val="24"/>
      <w:lang w:val="en-GB" w:eastAsia="nl-NL"/>
    </w:rPr>
  </w:style>
  <w:style w:type="paragraph" w:styleId="Heading1">
    <w:name w:val="heading 1"/>
    <w:basedOn w:val="Normal"/>
    <w:next w:val="Normal"/>
    <w:link w:val="Heading1Char"/>
    <w:uiPriority w:val="9"/>
    <w:qFormat/>
    <w:locked/>
    <w:rsid w:val="00F80AD1"/>
    <w:pPr>
      <w:keepNext/>
      <w:keepLines/>
      <w:spacing w:before="480"/>
      <w:outlineLvl w:val="0"/>
    </w:pPr>
    <w:rPr>
      <w:rFonts w:eastAsiaTheme="majorEastAsia" w:cs="Arial"/>
      <w:b/>
      <w:bCs/>
      <w:color w:val="00A651" w:themeColor="accent1"/>
      <w:sz w:val="48"/>
      <w:szCs w:val="48"/>
    </w:rPr>
  </w:style>
  <w:style w:type="paragraph" w:styleId="Heading2">
    <w:name w:val="heading 2"/>
    <w:basedOn w:val="NoSpacing"/>
    <w:next w:val="Normal"/>
    <w:link w:val="Heading2Char"/>
    <w:uiPriority w:val="9"/>
    <w:unhideWhenUsed/>
    <w:locked/>
    <w:rsid w:val="00D77FF5"/>
    <w:pPr>
      <w:keepNext/>
      <w:keepLines/>
      <w:spacing w:before="240" w:after="120"/>
      <w:outlineLvl w:val="1"/>
    </w:pPr>
    <w:rPr>
      <w:b/>
      <w:color w:val="00A651" w:themeColor="accent1"/>
      <w:sz w:val="28"/>
      <w:szCs w:val="28"/>
    </w:rPr>
  </w:style>
  <w:style w:type="paragraph" w:styleId="Heading3">
    <w:name w:val="heading 3"/>
    <w:basedOn w:val="Normal"/>
    <w:next w:val="Normal"/>
    <w:link w:val="Heading3Char"/>
    <w:uiPriority w:val="9"/>
    <w:unhideWhenUsed/>
    <w:locked/>
    <w:rsid w:val="00552689"/>
    <w:pPr>
      <w:keepNext/>
      <w:keepLines/>
      <w:spacing w:before="300"/>
      <w:outlineLvl w:val="2"/>
    </w:pPr>
    <w:rPr>
      <w:rFonts w:eastAsiaTheme="majorEastAsia" w:cs="Arial"/>
      <w:b/>
      <w:bCs/>
      <w:color w:val="7F7F7F" w:themeColor="text1" w:themeTint="80"/>
      <w:sz w:val="24"/>
    </w:rPr>
  </w:style>
  <w:style w:type="paragraph" w:styleId="Heading4">
    <w:name w:val="heading 4"/>
    <w:basedOn w:val="Normal"/>
    <w:next w:val="Normal"/>
    <w:link w:val="Heading4Char"/>
    <w:uiPriority w:val="9"/>
    <w:unhideWhenUsed/>
    <w:locked/>
    <w:rsid w:val="0086446F"/>
    <w:pPr>
      <w:keepNext/>
      <w:keepLines/>
      <w:spacing w:before="240"/>
      <w:outlineLvl w:val="3"/>
    </w:pPr>
    <w:rPr>
      <w:b/>
    </w:rPr>
  </w:style>
  <w:style w:type="paragraph" w:styleId="Heading5">
    <w:name w:val="heading 5"/>
    <w:basedOn w:val="Normal"/>
    <w:next w:val="Normal"/>
    <w:link w:val="Heading5Char"/>
    <w:uiPriority w:val="9"/>
    <w:semiHidden/>
    <w:unhideWhenUsed/>
    <w:locked/>
    <w:rsid w:val="006B0B24"/>
    <w:pPr>
      <w:keepNext/>
      <w:keepLines/>
      <w:spacing w:before="200"/>
      <w:outlineLvl w:val="4"/>
    </w:pPr>
    <w:rPr>
      <w:rFonts w:asciiTheme="majorHAnsi" w:eastAsiaTheme="majorEastAsia" w:hAnsiTheme="majorHAnsi" w:cstheme="majorBidi"/>
      <w:color w:val="00522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0AD1"/>
    <w:rPr>
      <w:rFonts w:ascii="Arial" w:eastAsiaTheme="majorEastAsia" w:hAnsi="Arial" w:cs="Arial"/>
      <w:b/>
      <w:bCs/>
      <w:color w:val="00A651" w:themeColor="accent1"/>
      <w:spacing w:val="4"/>
      <w:sz w:val="48"/>
      <w:szCs w:val="48"/>
      <w:lang w:val="en-GB" w:eastAsia="nl-NL"/>
    </w:rPr>
  </w:style>
  <w:style w:type="paragraph" w:styleId="NoSpacing">
    <w:name w:val="No Spacing"/>
    <w:uiPriority w:val="1"/>
    <w:locked/>
    <w:rsid w:val="006B0B24"/>
    <w:pPr>
      <w:spacing w:after="0"/>
    </w:pPr>
    <w:rPr>
      <w:rFonts w:ascii="Arial" w:hAnsi="Arial"/>
      <w:color w:val="000000" w:themeColor="text1"/>
      <w:sz w:val="20"/>
    </w:rPr>
  </w:style>
  <w:style w:type="character" w:customStyle="1" w:styleId="Heading2Char">
    <w:name w:val="Heading 2 Char"/>
    <w:basedOn w:val="DefaultParagraphFont"/>
    <w:link w:val="Heading2"/>
    <w:uiPriority w:val="9"/>
    <w:rsid w:val="00D77FF5"/>
    <w:rPr>
      <w:rFonts w:ascii="Arial" w:hAnsi="Arial"/>
      <w:b/>
      <w:color w:val="00A651" w:themeColor="accent1"/>
      <w:sz w:val="28"/>
      <w:szCs w:val="28"/>
    </w:rPr>
  </w:style>
  <w:style w:type="character" w:customStyle="1" w:styleId="Heading3Char">
    <w:name w:val="Heading 3 Char"/>
    <w:basedOn w:val="DefaultParagraphFont"/>
    <w:link w:val="Heading3"/>
    <w:uiPriority w:val="9"/>
    <w:rsid w:val="00552689"/>
    <w:rPr>
      <w:rFonts w:ascii="Arial" w:eastAsiaTheme="majorEastAsia" w:hAnsi="Arial" w:cs="Arial"/>
      <w:b/>
      <w:bCs/>
      <w:color w:val="7F7F7F" w:themeColor="text1" w:themeTint="80"/>
      <w:spacing w:val="4"/>
      <w:sz w:val="24"/>
      <w:szCs w:val="24"/>
      <w:lang w:val="en-GB" w:eastAsia="nl-NL"/>
    </w:rPr>
  </w:style>
  <w:style w:type="character" w:customStyle="1" w:styleId="Heading4Char">
    <w:name w:val="Heading 4 Char"/>
    <w:basedOn w:val="DefaultParagraphFont"/>
    <w:link w:val="Heading4"/>
    <w:uiPriority w:val="9"/>
    <w:rsid w:val="0086446F"/>
    <w:rPr>
      <w:rFonts w:ascii="Arial" w:eastAsia="Times New Roman" w:hAnsi="Arial" w:cs="Times New Roman"/>
      <w:b/>
      <w:color w:val="000000" w:themeColor="text1"/>
      <w:spacing w:val="4"/>
      <w:sz w:val="20"/>
      <w:szCs w:val="24"/>
      <w:lang w:val="en-GB" w:eastAsia="nl-NL"/>
    </w:rPr>
  </w:style>
  <w:style w:type="character" w:customStyle="1" w:styleId="Heading5Char">
    <w:name w:val="Heading 5 Char"/>
    <w:basedOn w:val="DefaultParagraphFont"/>
    <w:link w:val="Heading5"/>
    <w:uiPriority w:val="9"/>
    <w:semiHidden/>
    <w:rsid w:val="006B0B24"/>
    <w:rPr>
      <w:rFonts w:asciiTheme="majorHAnsi" w:eastAsiaTheme="majorEastAsia" w:hAnsiTheme="majorHAnsi" w:cstheme="majorBidi"/>
      <w:color w:val="005228" w:themeColor="accent1" w:themeShade="7F"/>
      <w:spacing w:val="4"/>
      <w:sz w:val="20"/>
      <w:szCs w:val="24"/>
      <w:lang w:val="en-GB" w:eastAsia="nl-NL"/>
    </w:rPr>
  </w:style>
  <w:style w:type="paragraph" w:styleId="Header">
    <w:name w:val="header"/>
    <w:basedOn w:val="Normal"/>
    <w:link w:val="HeaderChar"/>
    <w:unhideWhenUsed/>
    <w:locked/>
    <w:rsid w:val="00466926"/>
    <w:pPr>
      <w:tabs>
        <w:tab w:val="center" w:pos="4536"/>
        <w:tab w:val="right" w:pos="9072"/>
      </w:tabs>
      <w:spacing w:line="240" w:lineRule="auto"/>
    </w:pPr>
  </w:style>
  <w:style w:type="character" w:customStyle="1" w:styleId="HeaderChar">
    <w:name w:val="Header Char"/>
    <w:basedOn w:val="DefaultParagraphFont"/>
    <w:link w:val="Header"/>
    <w:uiPriority w:val="99"/>
    <w:rsid w:val="00466926"/>
  </w:style>
  <w:style w:type="paragraph" w:styleId="Footer">
    <w:name w:val="footer"/>
    <w:basedOn w:val="Normal"/>
    <w:link w:val="FooterChar"/>
    <w:unhideWhenUsed/>
    <w:locked/>
    <w:rsid w:val="00466926"/>
    <w:pPr>
      <w:tabs>
        <w:tab w:val="center" w:pos="4536"/>
        <w:tab w:val="right" w:pos="9072"/>
      </w:tabs>
      <w:spacing w:line="240" w:lineRule="auto"/>
    </w:pPr>
  </w:style>
  <w:style w:type="character" w:customStyle="1" w:styleId="FooterChar">
    <w:name w:val="Footer Char"/>
    <w:basedOn w:val="DefaultParagraphFont"/>
    <w:link w:val="Footer"/>
    <w:rsid w:val="00466926"/>
  </w:style>
  <w:style w:type="paragraph" w:styleId="BalloonText">
    <w:name w:val="Balloon Text"/>
    <w:basedOn w:val="Normal"/>
    <w:link w:val="BalloonTextChar"/>
    <w:uiPriority w:val="99"/>
    <w:semiHidden/>
    <w:unhideWhenUsed/>
    <w:locked/>
    <w:rsid w:val="0046692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926"/>
    <w:rPr>
      <w:rFonts w:ascii="Tahoma" w:hAnsi="Tahoma" w:cs="Tahoma"/>
      <w:sz w:val="16"/>
      <w:szCs w:val="16"/>
    </w:rPr>
  </w:style>
  <w:style w:type="paragraph" w:styleId="BodyText">
    <w:name w:val="Body Text"/>
    <w:link w:val="BodyTextChar1"/>
    <w:locked/>
    <w:rsid w:val="00ED1AF8"/>
    <w:pPr>
      <w:spacing w:after="0" w:line="288" w:lineRule="auto"/>
    </w:pPr>
    <w:rPr>
      <w:rFonts w:ascii="Arial" w:eastAsia="Times New Roman" w:hAnsi="Arial" w:cs="Times New Roman"/>
      <w:color w:val="000000" w:themeColor="text1"/>
      <w:spacing w:val="4"/>
      <w:sz w:val="20"/>
      <w:szCs w:val="24"/>
      <w:lang w:val="en-GB" w:eastAsia="nl-NL"/>
    </w:rPr>
  </w:style>
  <w:style w:type="character" w:customStyle="1" w:styleId="BodyTextChar1">
    <w:name w:val="Body Text Char1"/>
    <w:basedOn w:val="DefaultParagraphFont"/>
    <w:link w:val="BodyText"/>
    <w:rsid w:val="00ED1AF8"/>
    <w:rPr>
      <w:rFonts w:ascii="Arial" w:eastAsia="Times New Roman" w:hAnsi="Arial" w:cs="Times New Roman"/>
      <w:color w:val="000000" w:themeColor="text1"/>
      <w:spacing w:val="4"/>
      <w:sz w:val="20"/>
      <w:szCs w:val="24"/>
      <w:lang w:val="en-GB" w:eastAsia="nl-NL"/>
    </w:rPr>
  </w:style>
  <w:style w:type="table" w:styleId="TableGrid">
    <w:name w:val="Table Grid"/>
    <w:basedOn w:val="TableNormal"/>
    <w:locked/>
    <w:rsid w:val="00EE3F2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locked/>
    <w:rsid w:val="00EE3F2A"/>
    <w:pPr>
      <w:ind w:left="720"/>
      <w:contextualSpacing/>
    </w:pPr>
  </w:style>
  <w:style w:type="character" w:customStyle="1" w:styleId="ListParagraphChar">
    <w:name w:val="List Paragraph Char"/>
    <w:basedOn w:val="DefaultParagraphFont"/>
    <w:link w:val="ListParagraph"/>
    <w:uiPriority w:val="34"/>
    <w:rsid w:val="0018190B"/>
    <w:rPr>
      <w:rFonts w:ascii="Arial" w:eastAsia="Times New Roman" w:hAnsi="Arial" w:cs="Times New Roman"/>
      <w:spacing w:val="4"/>
      <w:sz w:val="20"/>
      <w:szCs w:val="24"/>
      <w:lang w:val="en-GB" w:eastAsia="nl-NL"/>
    </w:rPr>
  </w:style>
  <w:style w:type="paragraph" w:customStyle="1" w:styleId="Subbullets">
    <w:name w:val="Subbullets"/>
    <w:basedOn w:val="Bullets"/>
    <w:locked/>
    <w:rsid w:val="004F624B"/>
    <w:pPr>
      <w:numPr>
        <w:ilvl w:val="1"/>
      </w:numPr>
      <w:ind w:left="1134" w:hanging="425"/>
    </w:pPr>
  </w:style>
  <w:style w:type="paragraph" w:customStyle="1" w:styleId="Bullets">
    <w:name w:val="Bullets"/>
    <w:basedOn w:val="ListParagraph"/>
    <w:link w:val="BulletsCar"/>
    <w:locked/>
    <w:rsid w:val="004F624B"/>
    <w:pPr>
      <w:numPr>
        <w:numId w:val="3"/>
      </w:numPr>
      <w:tabs>
        <w:tab w:val="left" w:pos="2268"/>
      </w:tabs>
      <w:ind w:left="714" w:hanging="357"/>
    </w:pPr>
    <w:rPr>
      <w:szCs w:val="20"/>
    </w:rPr>
  </w:style>
  <w:style w:type="character" w:customStyle="1" w:styleId="BulletsCar">
    <w:name w:val="Bullets Car"/>
    <w:basedOn w:val="ListParagraphChar"/>
    <w:link w:val="Bullets"/>
    <w:rsid w:val="0018190B"/>
    <w:rPr>
      <w:rFonts w:ascii="Arial" w:eastAsia="Times New Roman" w:hAnsi="Arial" w:cs="Times New Roman"/>
      <w:color w:val="000000" w:themeColor="text1"/>
      <w:spacing w:val="4"/>
      <w:sz w:val="20"/>
      <w:szCs w:val="20"/>
      <w:lang w:val="en-GB" w:eastAsia="nl-NL"/>
    </w:rPr>
  </w:style>
  <w:style w:type="paragraph" w:customStyle="1" w:styleId="ActionStyle">
    <w:name w:val="ActionStyle"/>
    <w:basedOn w:val="Heading4"/>
    <w:locked/>
    <w:rsid w:val="006B0B24"/>
    <w:pPr>
      <w:numPr>
        <w:numId w:val="5"/>
      </w:numPr>
    </w:pPr>
  </w:style>
  <w:style w:type="paragraph" w:customStyle="1" w:styleId="Numberingintables">
    <w:name w:val="Numbering in tables"/>
    <w:basedOn w:val="Normal"/>
    <w:locked/>
    <w:rsid w:val="006B0B24"/>
    <w:pPr>
      <w:numPr>
        <w:numId w:val="1"/>
      </w:numPr>
      <w:tabs>
        <w:tab w:val="left" w:pos="2268"/>
      </w:tabs>
      <w:ind w:left="357" w:hanging="357"/>
    </w:pPr>
  </w:style>
  <w:style w:type="paragraph" w:customStyle="1" w:styleId="Bulletsintables">
    <w:name w:val="Bullets in tables"/>
    <w:basedOn w:val="Normal"/>
    <w:link w:val="BulletsintablesCar"/>
    <w:locked/>
    <w:rsid w:val="006B0B24"/>
    <w:pPr>
      <w:numPr>
        <w:numId w:val="2"/>
      </w:numPr>
      <w:tabs>
        <w:tab w:val="left" w:pos="2268"/>
      </w:tabs>
      <w:ind w:left="714" w:hanging="357"/>
    </w:pPr>
  </w:style>
  <w:style w:type="character" w:customStyle="1" w:styleId="BulletsintablesCar">
    <w:name w:val="Bullets in tables Car"/>
    <w:basedOn w:val="DefaultParagraphFont"/>
    <w:link w:val="Bulletsintables"/>
    <w:rsid w:val="0018190B"/>
    <w:rPr>
      <w:rFonts w:ascii="Arial" w:eastAsia="Times New Roman" w:hAnsi="Arial" w:cs="Times New Roman"/>
      <w:color w:val="000000" w:themeColor="text1"/>
      <w:spacing w:val="4"/>
      <w:sz w:val="20"/>
      <w:szCs w:val="24"/>
      <w:lang w:val="en-GB" w:eastAsia="nl-NL"/>
    </w:rPr>
  </w:style>
  <w:style w:type="paragraph" w:customStyle="1" w:styleId="Heading2withnumbering">
    <w:name w:val="Heading 2 with numbering"/>
    <w:basedOn w:val="Heading2"/>
    <w:link w:val="Heading2withnumberingCar"/>
    <w:locked/>
    <w:rsid w:val="00282B8D"/>
    <w:rPr>
      <w:lang w:val="en-GB"/>
    </w:rPr>
  </w:style>
  <w:style w:type="character" w:customStyle="1" w:styleId="Heading2withnumberingCar">
    <w:name w:val="Heading 2 with numbering Car"/>
    <w:basedOn w:val="Heading2Char"/>
    <w:link w:val="Heading2withnumbering"/>
    <w:rsid w:val="00523F73"/>
    <w:rPr>
      <w:rFonts w:ascii="Arial" w:hAnsi="Arial"/>
      <w:b/>
      <w:color w:val="00A651" w:themeColor="accent1"/>
      <w:sz w:val="28"/>
      <w:szCs w:val="28"/>
      <w:lang w:val="en-GB"/>
    </w:rPr>
  </w:style>
  <w:style w:type="paragraph" w:customStyle="1" w:styleId="Tableheader">
    <w:name w:val="Table header"/>
    <w:basedOn w:val="Normal"/>
    <w:locked/>
    <w:rsid w:val="006B0B24"/>
    <w:pPr>
      <w:tabs>
        <w:tab w:val="left" w:pos="2268"/>
      </w:tabs>
    </w:pPr>
    <w:rPr>
      <w:b/>
    </w:rPr>
  </w:style>
  <w:style w:type="paragraph" w:customStyle="1" w:styleId="Tablecontent">
    <w:name w:val="Table content"/>
    <w:basedOn w:val="Normal"/>
    <w:locked/>
    <w:rsid w:val="006B0B24"/>
    <w:pPr>
      <w:tabs>
        <w:tab w:val="left" w:pos="2268"/>
      </w:tabs>
    </w:pPr>
  </w:style>
  <w:style w:type="paragraph" w:customStyle="1" w:styleId="Heading3withnumbering">
    <w:name w:val="Heading 3 with numbering"/>
    <w:basedOn w:val="Heading3"/>
    <w:link w:val="Heading3withnumberingCar"/>
    <w:locked/>
    <w:rsid w:val="0017124A"/>
    <w:pPr>
      <w:tabs>
        <w:tab w:val="left" w:pos="567"/>
      </w:tabs>
    </w:pPr>
  </w:style>
  <w:style w:type="character" w:customStyle="1" w:styleId="Heading3withnumberingCar">
    <w:name w:val="Heading 3 with numbering Car"/>
    <w:basedOn w:val="Heading3Char"/>
    <w:link w:val="Heading3withnumbering"/>
    <w:rsid w:val="00130AF3"/>
    <w:rPr>
      <w:rFonts w:ascii="Arial" w:eastAsiaTheme="majorEastAsia" w:hAnsi="Arial" w:cs="Arial"/>
      <w:b/>
      <w:bCs/>
      <w:color w:val="7F7F7F" w:themeColor="text1" w:themeTint="80"/>
      <w:spacing w:val="4"/>
      <w:sz w:val="24"/>
      <w:szCs w:val="24"/>
      <w:lang w:val="en-GB" w:eastAsia="nl-NL"/>
    </w:rPr>
  </w:style>
  <w:style w:type="paragraph" w:customStyle="1" w:styleId="Heading4withnumbering">
    <w:name w:val="Heading 4 with numbering"/>
    <w:basedOn w:val="Heading4"/>
    <w:link w:val="Heading4withnumberingCar"/>
    <w:locked/>
    <w:rsid w:val="0017124A"/>
  </w:style>
  <w:style w:type="character" w:customStyle="1" w:styleId="Heading4withnumberingCar">
    <w:name w:val="Heading 4 with numbering Car"/>
    <w:basedOn w:val="Heading4Char"/>
    <w:link w:val="Heading4withnumbering"/>
    <w:rsid w:val="00130AF3"/>
    <w:rPr>
      <w:rFonts w:ascii="Arial" w:eastAsia="Times New Roman" w:hAnsi="Arial" w:cs="Times New Roman"/>
      <w:b/>
      <w:color w:val="000000" w:themeColor="text1"/>
      <w:spacing w:val="4"/>
      <w:sz w:val="20"/>
      <w:szCs w:val="24"/>
      <w:lang w:val="en-GB" w:eastAsia="nl-NL"/>
    </w:rPr>
  </w:style>
  <w:style w:type="character" w:styleId="Hyperlink">
    <w:name w:val="Hyperlink"/>
    <w:basedOn w:val="DefaultParagraphFont"/>
    <w:uiPriority w:val="99"/>
    <w:unhideWhenUsed/>
    <w:locked/>
    <w:rsid w:val="009E2E97"/>
    <w:rPr>
      <w:color w:val="00A651" w:themeColor="hyperlink"/>
      <w:u w:val="single"/>
    </w:rPr>
  </w:style>
  <w:style w:type="paragraph" w:customStyle="1" w:styleId="dottedline">
    <w:name w:val="dotted line"/>
    <w:basedOn w:val="BodyText"/>
    <w:next w:val="BodyText"/>
    <w:link w:val="dottedlineChar"/>
    <w:locked/>
    <w:rsid w:val="00397912"/>
    <w:pPr>
      <w:spacing w:after="360"/>
      <w:jc w:val="both"/>
    </w:pPr>
    <w:rPr>
      <w:spacing w:val="30"/>
      <w:sz w:val="24"/>
    </w:rPr>
  </w:style>
  <w:style w:type="character" w:customStyle="1" w:styleId="dottedlineChar">
    <w:name w:val="dotted line Char"/>
    <w:basedOn w:val="BodyTextChar1"/>
    <w:link w:val="dottedline"/>
    <w:rsid w:val="00397912"/>
    <w:rPr>
      <w:rFonts w:ascii="Arial" w:eastAsia="Times New Roman" w:hAnsi="Arial" w:cs="Times New Roman"/>
      <w:color w:val="000000" w:themeColor="text1"/>
      <w:spacing w:val="30"/>
      <w:sz w:val="24"/>
      <w:szCs w:val="24"/>
      <w:lang w:val="en-GB" w:eastAsia="nl-NL"/>
    </w:rPr>
  </w:style>
  <w:style w:type="paragraph" w:customStyle="1" w:styleId="Header2">
    <w:name w:val="Header 2"/>
    <w:basedOn w:val="BodyText"/>
    <w:locked/>
    <w:rsid w:val="00397912"/>
    <w:pPr>
      <w:spacing w:before="240" w:after="200"/>
    </w:pPr>
    <w:rPr>
      <w:b/>
      <w:bCs/>
      <w:color w:val="auto"/>
    </w:rPr>
  </w:style>
  <w:style w:type="paragraph" w:customStyle="1" w:styleId="Documentsubtitle">
    <w:name w:val="Document subtitle"/>
    <w:basedOn w:val="BodyText"/>
    <w:locked/>
    <w:rsid w:val="00397912"/>
    <w:pPr>
      <w:spacing w:before="240" w:after="120"/>
      <w:jc w:val="both"/>
    </w:pPr>
    <w:rPr>
      <w:color w:val="auto"/>
      <w:sz w:val="28"/>
    </w:rPr>
  </w:style>
  <w:style w:type="paragraph" w:customStyle="1" w:styleId="DocumentTitle">
    <w:name w:val="Document Title"/>
    <w:basedOn w:val="BodyText"/>
    <w:next w:val="Documentsubtitle"/>
    <w:link w:val="DocumentTitleChar"/>
    <w:locked/>
    <w:rsid w:val="00397912"/>
    <w:pPr>
      <w:keepNext/>
      <w:pageBreakBefore/>
      <w:spacing w:before="200"/>
      <w:jc w:val="both"/>
    </w:pPr>
    <w:rPr>
      <w:b/>
      <w:color w:val="009F47"/>
      <w:sz w:val="40"/>
    </w:rPr>
  </w:style>
  <w:style w:type="character" w:customStyle="1" w:styleId="DocumentTitleChar">
    <w:name w:val="Document Title Char"/>
    <w:basedOn w:val="BodyTextChar1"/>
    <w:link w:val="DocumentTitle"/>
    <w:rsid w:val="00397912"/>
    <w:rPr>
      <w:rFonts w:ascii="Arial" w:eastAsia="Times New Roman" w:hAnsi="Arial" w:cs="Times New Roman"/>
      <w:b/>
      <w:color w:val="009F47"/>
      <w:spacing w:val="4"/>
      <w:sz w:val="40"/>
      <w:szCs w:val="24"/>
      <w:lang w:val="en-GB" w:eastAsia="nl-NL"/>
    </w:rPr>
  </w:style>
  <w:style w:type="paragraph" w:customStyle="1" w:styleId="Header1">
    <w:name w:val="Header 1"/>
    <w:basedOn w:val="BodyText"/>
    <w:locked/>
    <w:rsid w:val="00397912"/>
    <w:pPr>
      <w:pageBreakBefore/>
      <w:tabs>
        <w:tab w:val="left" w:pos="6804"/>
      </w:tabs>
      <w:spacing w:before="240" w:after="200"/>
    </w:pPr>
    <w:rPr>
      <w:b/>
      <w:bCs/>
      <w:color w:val="auto"/>
      <w:sz w:val="28"/>
    </w:rPr>
  </w:style>
  <w:style w:type="paragraph" w:styleId="TOC2">
    <w:name w:val="toc 2"/>
    <w:basedOn w:val="BodyText"/>
    <w:next w:val="BodyText"/>
    <w:autoRedefine/>
    <w:uiPriority w:val="39"/>
    <w:rsid w:val="00B80C60"/>
    <w:pPr>
      <w:tabs>
        <w:tab w:val="left" w:pos="800"/>
        <w:tab w:val="right" w:leader="dot" w:pos="9060"/>
      </w:tabs>
      <w:spacing w:before="80" w:after="80"/>
      <w:ind w:left="198"/>
    </w:pPr>
    <w:rPr>
      <w:smallCaps/>
      <w:noProof/>
      <w:szCs w:val="20"/>
    </w:rPr>
  </w:style>
  <w:style w:type="paragraph" w:styleId="TOC1">
    <w:name w:val="toc 1"/>
    <w:basedOn w:val="BodyText"/>
    <w:next w:val="BodyText"/>
    <w:autoRedefine/>
    <w:uiPriority w:val="39"/>
    <w:rsid w:val="004A0EED"/>
    <w:pPr>
      <w:spacing w:before="120" w:after="120"/>
    </w:pPr>
    <w:rPr>
      <w:b/>
      <w:bCs/>
      <w:smallCaps/>
      <w:szCs w:val="20"/>
    </w:rPr>
  </w:style>
  <w:style w:type="paragraph" w:styleId="TOC3">
    <w:name w:val="toc 3"/>
    <w:basedOn w:val="TOC2"/>
    <w:next w:val="Normal"/>
    <w:autoRedefine/>
    <w:uiPriority w:val="39"/>
    <w:rsid w:val="00F70C47"/>
    <w:pPr>
      <w:spacing w:before="0" w:after="0"/>
      <w:ind w:left="403"/>
    </w:pPr>
    <w:rPr>
      <w:i/>
      <w:iCs/>
      <w:smallCaps w:val="0"/>
    </w:rPr>
  </w:style>
  <w:style w:type="paragraph" w:customStyle="1" w:styleId="BodyTextExplanation">
    <w:name w:val="Body Text Explanation"/>
    <w:basedOn w:val="BodyText"/>
    <w:link w:val="BodyTextExplanationCar"/>
    <w:locked/>
    <w:rsid w:val="00086340"/>
    <w:pPr>
      <w:pBdr>
        <w:top w:val="single" w:sz="4" w:space="6" w:color="7F7F7F" w:themeColor="text1" w:themeTint="80"/>
        <w:left w:val="single" w:sz="4" w:space="6" w:color="7F7F7F" w:themeColor="text1" w:themeTint="80"/>
        <w:bottom w:val="single" w:sz="4" w:space="6" w:color="7F7F7F" w:themeColor="text1" w:themeTint="80"/>
        <w:right w:val="single" w:sz="4" w:space="6" w:color="7F7F7F" w:themeColor="text1" w:themeTint="80"/>
      </w:pBdr>
      <w:spacing w:before="240" w:after="120"/>
    </w:pPr>
    <w:rPr>
      <w:i/>
      <w:color w:val="auto"/>
    </w:rPr>
  </w:style>
  <w:style w:type="character" w:customStyle="1" w:styleId="BodyTextExplanationCar">
    <w:name w:val="Body Text Explanation Car"/>
    <w:basedOn w:val="BodyTextChar1"/>
    <w:link w:val="BodyTextExplanation"/>
    <w:rsid w:val="00523F73"/>
    <w:rPr>
      <w:rFonts w:ascii="Arial" w:eastAsia="Times New Roman" w:hAnsi="Arial" w:cs="Times New Roman"/>
      <w:i/>
      <w:color w:val="000000" w:themeColor="text1"/>
      <w:spacing w:val="4"/>
      <w:sz w:val="20"/>
      <w:szCs w:val="24"/>
      <w:lang w:val="en-GB" w:eastAsia="nl-NL"/>
    </w:rPr>
  </w:style>
  <w:style w:type="paragraph" w:customStyle="1" w:styleId="BodyTextFPP">
    <w:name w:val="Body Text FPP"/>
    <w:basedOn w:val="BodyTextExplanation"/>
    <w:locked/>
    <w:rsid w:val="00397912"/>
    <w:pPr>
      <w:pBdr>
        <w:top w:val="single" w:sz="4" w:space="6" w:color="C00000"/>
        <w:left w:val="single" w:sz="4" w:space="6" w:color="C00000"/>
        <w:bottom w:val="single" w:sz="4" w:space="6" w:color="C00000"/>
        <w:right w:val="single" w:sz="4" w:space="6" w:color="C00000"/>
      </w:pBdr>
    </w:pPr>
    <w:rPr>
      <w:color w:val="C00000"/>
    </w:rPr>
  </w:style>
  <w:style w:type="paragraph" w:customStyle="1" w:styleId="BodyTextExplanationBullet">
    <w:name w:val="Body Text Explanation Bullet"/>
    <w:basedOn w:val="BodyTextExplanation"/>
    <w:next w:val="BodyTextExplanation"/>
    <w:link w:val="BodyTextExplanationBulletCar"/>
    <w:locked/>
    <w:rsid w:val="00397912"/>
    <w:pPr>
      <w:numPr>
        <w:numId w:val="8"/>
      </w:numPr>
      <w:spacing w:before="120"/>
      <w:contextualSpacing/>
    </w:pPr>
  </w:style>
  <w:style w:type="character" w:customStyle="1" w:styleId="BodyTextExplanationBulletCar">
    <w:name w:val="Body Text Explanation Bullet Car"/>
    <w:basedOn w:val="BodyTextExplanationCar"/>
    <w:link w:val="BodyTextExplanationBullet"/>
    <w:rsid w:val="00130AF3"/>
    <w:rPr>
      <w:rFonts w:ascii="Arial" w:eastAsia="Times New Roman" w:hAnsi="Arial" w:cs="Times New Roman"/>
      <w:i/>
      <w:color w:val="000000" w:themeColor="text1"/>
      <w:spacing w:val="4"/>
      <w:sz w:val="20"/>
      <w:szCs w:val="24"/>
      <w:lang w:val="en-GB" w:eastAsia="nl-NL"/>
    </w:rPr>
  </w:style>
  <w:style w:type="paragraph" w:customStyle="1" w:styleId="BodyTextCommunity">
    <w:name w:val="Body Text Community"/>
    <w:basedOn w:val="BodyText"/>
    <w:next w:val="BodyText"/>
    <w:link w:val="BodyTextCommunityCar"/>
    <w:locked/>
    <w:rsid w:val="00397912"/>
    <w:pPr>
      <w:pBdr>
        <w:top w:val="single" w:sz="4" w:space="18" w:color="833407" w:themeColor="accent3" w:themeShade="80"/>
        <w:left w:val="single" w:sz="4" w:space="6" w:color="833407" w:themeColor="accent3" w:themeShade="80"/>
        <w:bottom w:val="single" w:sz="4" w:space="18" w:color="833407" w:themeColor="accent3" w:themeShade="80"/>
        <w:right w:val="single" w:sz="4" w:space="6" w:color="833407" w:themeColor="accent3" w:themeShade="80"/>
      </w:pBdr>
      <w:spacing w:before="240" w:after="120"/>
      <w:jc w:val="center"/>
    </w:pPr>
    <w:rPr>
      <w:color w:val="833407" w:themeColor="accent3" w:themeShade="80"/>
    </w:rPr>
  </w:style>
  <w:style w:type="character" w:customStyle="1" w:styleId="BodyTextCommunityCar">
    <w:name w:val="Body Text Community Car"/>
    <w:basedOn w:val="BodyTextChar1"/>
    <w:link w:val="BodyTextCommunity"/>
    <w:rsid w:val="00523F73"/>
    <w:rPr>
      <w:rFonts w:ascii="Arial" w:eastAsia="Times New Roman" w:hAnsi="Arial" w:cs="Times New Roman"/>
      <w:color w:val="833407" w:themeColor="accent3" w:themeShade="80"/>
      <w:spacing w:val="4"/>
      <w:sz w:val="20"/>
      <w:szCs w:val="24"/>
      <w:lang w:val="en-GB" w:eastAsia="nl-NL"/>
    </w:rPr>
  </w:style>
  <w:style w:type="paragraph" w:customStyle="1" w:styleId="BodyTextBullet">
    <w:name w:val="Body Text Bullet"/>
    <w:basedOn w:val="BodyText"/>
    <w:locked/>
    <w:rsid w:val="00397912"/>
    <w:pPr>
      <w:numPr>
        <w:numId w:val="6"/>
      </w:numPr>
      <w:ind w:left="641" w:hanging="357"/>
      <w:jc w:val="both"/>
    </w:pPr>
    <w:rPr>
      <w:color w:val="auto"/>
    </w:rPr>
  </w:style>
  <w:style w:type="paragraph" w:customStyle="1" w:styleId="ProjectTitle">
    <w:name w:val="Project Title"/>
    <w:basedOn w:val="Normal"/>
    <w:locked/>
    <w:rsid w:val="00397912"/>
    <w:pPr>
      <w:keepNext/>
      <w:jc w:val="both"/>
    </w:pPr>
    <w:rPr>
      <w:b/>
      <w:sz w:val="40"/>
    </w:rPr>
  </w:style>
  <w:style w:type="paragraph" w:customStyle="1" w:styleId="BodyTextFPPBullet">
    <w:name w:val="Body Text FPP Bullet"/>
    <w:basedOn w:val="BodyTextFPP"/>
    <w:locked/>
    <w:rsid w:val="00397912"/>
    <w:pPr>
      <w:numPr>
        <w:numId w:val="7"/>
      </w:numPr>
      <w:spacing w:before="0" w:after="0"/>
      <w:ind w:left="357" w:hanging="357"/>
    </w:pPr>
  </w:style>
  <w:style w:type="table" w:customStyle="1" w:styleId="TableBase">
    <w:name w:val="Table Base"/>
    <w:basedOn w:val="TableNormal"/>
    <w:uiPriority w:val="99"/>
    <w:locked/>
    <w:rsid w:val="00397912"/>
    <w:pPr>
      <w:spacing w:after="0" w:line="240" w:lineRule="auto"/>
    </w:pPr>
    <w:rPr>
      <w:rFonts w:ascii="Arial" w:eastAsia="Times New Roman" w:hAnsi="Arial" w:cs="Times New Roman"/>
      <w:sz w:val="20"/>
      <w:szCs w:val="20"/>
      <w:lang w:eastAsia="nl-NL"/>
    </w:rPr>
    <w:tblPr>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0" w:type="dxa"/>
        <w:left w:w="108" w:type="dxa"/>
        <w:bottom w:w="0" w:type="dxa"/>
        <w:right w:w="108" w:type="dxa"/>
      </w:tblCellMar>
    </w:tblPr>
    <w:tblStylePr w:type="firstRow">
      <w:rPr>
        <w:rFonts w:ascii="Arial" w:hAnsi="Arial"/>
        <w:b/>
        <w:sz w:val="20"/>
      </w:rPr>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l2br w:val="nil"/>
          <w:tr2bl w:val="nil"/>
        </w:tcBorders>
        <w:shd w:val="clear" w:color="auto" w:fill="D9D9D9" w:themeFill="background1" w:themeFillShade="D9"/>
      </w:tcPr>
    </w:tblStylePr>
  </w:style>
  <w:style w:type="paragraph" w:styleId="Caption">
    <w:name w:val="caption"/>
    <w:basedOn w:val="ITEACaption"/>
    <w:next w:val="ITEABodyText"/>
    <w:link w:val="CaptionChar"/>
    <w:uiPriority w:val="35"/>
    <w:qFormat/>
    <w:locked/>
    <w:rsid w:val="00DC6B7B"/>
    <w:pPr>
      <w:spacing w:after="240"/>
    </w:pPr>
  </w:style>
  <w:style w:type="paragraph" w:customStyle="1" w:styleId="ITEACaption">
    <w:name w:val="ITEA_Caption"/>
    <w:next w:val="ITEABodyText"/>
    <w:link w:val="ITEACaptionCar"/>
    <w:rsid w:val="00D06A5E"/>
    <w:pPr>
      <w:spacing w:before="120" w:after="120"/>
      <w:jc w:val="center"/>
    </w:pPr>
    <w:rPr>
      <w:rFonts w:ascii="Arial" w:eastAsia="Times New Roman" w:hAnsi="Arial" w:cs="Times New Roman"/>
      <w:bCs/>
      <w:i/>
      <w:color w:val="808080" w:themeColor="background1" w:themeShade="80"/>
      <w:sz w:val="20"/>
      <w:szCs w:val="20"/>
      <w:lang w:val="en-GB" w:eastAsia="nl-NL"/>
    </w:rPr>
  </w:style>
  <w:style w:type="paragraph" w:customStyle="1" w:styleId="ITEABodyText">
    <w:name w:val="ITEA_BodyText"/>
    <w:basedOn w:val="BodyText"/>
    <w:link w:val="ITEABodyTextCar"/>
    <w:qFormat/>
    <w:rsid w:val="00C66A99"/>
    <w:pPr>
      <w:spacing w:after="120"/>
      <w:jc w:val="both"/>
    </w:pPr>
  </w:style>
  <w:style w:type="character" w:customStyle="1" w:styleId="ITEABodyTextCar">
    <w:name w:val="ITEA_BodyText Car"/>
    <w:basedOn w:val="BodyTextChar1"/>
    <w:link w:val="ITEABodyText"/>
    <w:qFormat/>
    <w:rsid w:val="00C66A99"/>
    <w:rPr>
      <w:rFonts w:ascii="Arial" w:eastAsia="Times New Roman" w:hAnsi="Arial" w:cs="Times New Roman"/>
      <w:color w:val="000000" w:themeColor="text1"/>
      <w:spacing w:val="4"/>
      <w:sz w:val="20"/>
      <w:szCs w:val="24"/>
      <w:lang w:val="en-GB" w:eastAsia="nl-NL"/>
    </w:rPr>
  </w:style>
  <w:style w:type="character" w:customStyle="1" w:styleId="ITEACaptionCar">
    <w:name w:val="ITEA_Caption Car"/>
    <w:basedOn w:val="CaptionChar"/>
    <w:link w:val="ITEACaption"/>
    <w:rsid w:val="00D06A5E"/>
    <w:rPr>
      <w:rFonts w:ascii="Arial" w:eastAsia="Times New Roman" w:hAnsi="Arial" w:cs="Times New Roman"/>
      <w:b/>
      <w:bCs/>
      <w:i/>
      <w:color w:val="808080" w:themeColor="background1" w:themeShade="80"/>
      <w:sz w:val="20"/>
      <w:szCs w:val="20"/>
      <w:lang w:val="en-GB" w:eastAsia="nl-NL"/>
    </w:rPr>
  </w:style>
  <w:style w:type="character" w:customStyle="1" w:styleId="CaptionChar">
    <w:name w:val="Caption Char"/>
    <w:basedOn w:val="DefaultParagraphFont"/>
    <w:link w:val="Caption"/>
    <w:uiPriority w:val="99"/>
    <w:rsid w:val="00DC6B7B"/>
    <w:rPr>
      <w:rFonts w:ascii="Arial" w:eastAsia="Times New Roman" w:hAnsi="Arial" w:cs="Times New Roman"/>
      <w:bCs/>
      <w:i/>
      <w:color w:val="808080" w:themeColor="background1" w:themeShade="80"/>
      <w:sz w:val="20"/>
      <w:szCs w:val="20"/>
      <w:lang w:val="en-GB" w:eastAsia="nl-NL"/>
    </w:rPr>
  </w:style>
  <w:style w:type="table" w:customStyle="1" w:styleId="TableBaseRed">
    <w:name w:val="Table Base Red"/>
    <w:basedOn w:val="TableBase"/>
    <w:uiPriority w:val="99"/>
    <w:locked/>
    <w:rsid w:val="00397912"/>
    <w:rPr>
      <w:color w:val="C00000"/>
    </w:rPr>
    <w:tblPr>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0" w:type="dxa"/>
        <w:left w:w="108" w:type="dxa"/>
        <w:bottom w:w="0" w:type="dxa"/>
        <w:right w:w="108" w:type="dxa"/>
      </w:tblCellMar>
    </w:tblPr>
    <w:tblStylePr w:type="firstRow">
      <w:rPr>
        <w:rFonts w:ascii="Arial" w:hAnsi="Arial"/>
        <w:b/>
        <w:sz w:val="20"/>
      </w:rPr>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l2br w:val="nil"/>
          <w:tr2bl w:val="nil"/>
        </w:tcBorders>
        <w:shd w:val="clear" w:color="auto" w:fill="D9D9D9" w:themeFill="background1" w:themeFillShade="D9"/>
      </w:tcPr>
    </w:tblStylePr>
  </w:style>
  <w:style w:type="character" w:styleId="PageNumber">
    <w:name w:val="page number"/>
    <w:basedOn w:val="DefaultParagraphFont"/>
    <w:locked/>
    <w:rsid w:val="00BF5F63"/>
    <w:rPr>
      <w:rFonts w:cs="Times New Roman"/>
    </w:rPr>
  </w:style>
  <w:style w:type="paragraph" w:customStyle="1" w:styleId="BodyTextExplanationsubbullet">
    <w:name w:val="Body Text Explanation subbullet"/>
    <w:basedOn w:val="BodyTextExplanationBullet"/>
    <w:next w:val="BodyTextExplanation"/>
    <w:locked/>
    <w:rsid w:val="00086340"/>
    <w:pPr>
      <w:numPr>
        <w:numId w:val="10"/>
      </w:numPr>
      <w:spacing w:before="0"/>
      <w:ind w:left="425" w:hanging="425"/>
    </w:pPr>
  </w:style>
  <w:style w:type="paragraph" w:customStyle="1" w:styleId="Autogeneratedsection">
    <w:name w:val="Autogenerated section"/>
    <w:basedOn w:val="BodyTextCommunity"/>
    <w:link w:val="AutogeneratedsectionCar"/>
    <w:locked/>
    <w:rsid w:val="005238D9"/>
    <w:pPr>
      <w:pBdr>
        <w:top w:val="single" w:sz="4" w:space="18" w:color="F36F21" w:themeColor="accent3"/>
        <w:left w:val="single" w:sz="4" w:space="6" w:color="F36F21" w:themeColor="accent3"/>
        <w:bottom w:val="single" w:sz="4" w:space="18" w:color="F36F21" w:themeColor="accent3"/>
        <w:right w:val="single" w:sz="4" w:space="6" w:color="F36F21" w:themeColor="accent3"/>
      </w:pBdr>
    </w:pPr>
    <w:rPr>
      <w:color w:val="F36F21" w:themeColor="accent3"/>
    </w:rPr>
  </w:style>
  <w:style w:type="character" w:customStyle="1" w:styleId="AutogeneratedsectionCar">
    <w:name w:val="Autogenerated section Car"/>
    <w:basedOn w:val="BodyTextCommunityCar"/>
    <w:link w:val="Autogeneratedsection"/>
    <w:rsid w:val="00523F73"/>
    <w:rPr>
      <w:rFonts w:ascii="Arial" w:eastAsia="Times New Roman" w:hAnsi="Arial" w:cs="Times New Roman"/>
      <w:color w:val="F36F21" w:themeColor="accent3"/>
      <w:spacing w:val="4"/>
      <w:sz w:val="20"/>
      <w:szCs w:val="24"/>
      <w:lang w:val="en-GB" w:eastAsia="nl-NL"/>
    </w:rPr>
  </w:style>
  <w:style w:type="character" w:styleId="FollowedHyperlink">
    <w:name w:val="FollowedHyperlink"/>
    <w:basedOn w:val="DefaultParagraphFont"/>
    <w:uiPriority w:val="99"/>
    <w:semiHidden/>
    <w:unhideWhenUsed/>
    <w:locked/>
    <w:rsid w:val="007137BF"/>
    <w:rPr>
      <w:color w:val="7F7F7F" w:themeColor="followedHyperlink"/>
      <w:u w:val="single"/>
    </w:rPr>
  </w:style>
  <w:style w:type="character" w:styleId="CommentReference">
    <w:name w:val="annotation reference"/>
    <w:basedOn w:val="DefaultParagraphFont"/>
    <w:uiPriority w:val="99"/>
    <w:semiHidden/>
    <w:unhideWhenUsed/>
    <w:locked/>
    <w:rsid w:val="00462694"/>
    <w:rPr>
      <w:sz w:val="16"/>
      <w:szCs w:val="16"/>
    </w:rPr>
  </w:style>
  <w:style w:type="paragraph" w:styleId="CommentText">
    <w:name w:val="annotation text"/>
    <w:basedOn w:val="Normal"/>
    <w:link w:val="CommentTextChar"/>
    <w:uiPriority w:val="99"/>
    <w:unhideWhenUsed/>
    <w:locked/>
    <w:rsid w:val="00462694"/>
    <w:pPr>
      <w:spacing w:line="240" w:lineRule="auto"/>
    </w:pPr>
    <w:rPr>
      <w:szCs w:val="20"/>
    </w:rPr>
  </w:style>
  <w:style w:type="character" w:customStyle="1" w:styleId="CommentTextChar">
    <w:name w:val="Comment Text Char"/>
    <w:basedOn w:val="DefaultParagraphFont"/>
    <w:link w:val="CommentText"/>
    <w:uiPriority w:val="99"/>
    <w:rsid w:val="00462694"/>
    <w:rPr>
      <w:rFonts w:ascii="Arial" w:eastAsia="Times New Roman" w:hAnsi="Arial" w:cs="Times New Roman"/>
      <w:spacing w:val="4"/>
      <w:sz w:val="20"/>
      <w:szCs w:val="20"/>
      <w:lang w:val="en-GB" w:eastAsia="nl-NL"/>
    </w:rPr>
  </w:style>
  <w:style w:type="paragraph" w:styleId="CommentSubject">
    <w:name w:val="annotation subject"/>
    <w:basedOn w:val="CommentText"/>
    <w:next w:val="CommentText"/>
    <w:link w:val="CommentSubjectChar"/>
    <w:uiPriority w:val="99"/>
    <w:semiHidden/>
    <w:unhideWhenUsed/>
    <w:locked/>
    <w:rsid w:val="00462694"/>
    <w:rPr>
      <w:b/>
      <w:bCs/>
    </w:rPr>
  </w:style>
  <w:style w:type="character" w:customStyle="1" w:styleId="CommentSubjectChar">
    <w:name w:val="Comment Subject Char"/>
    <w:basedOn w:val="CommentTextChar"/>
    <w:link w:val="CommentSubject"/>
    <w:uiPriority w:val="99"/>
    <w:semiHidden/>
    <w:rsid w:val="00462694"/>
    <w:rPr>
      <w:rFonts w:ascii="Arial" w:eastAsia="Times New Roman" w:hAnsi="Arial" w:cs="Times New Roman"/>
      <w:b/>
      <w:bCs/>
      <w:spacing w:val="4"/>
      <w:sz w:val="20"/>
      <w:szCs w:val="20"/>
      <w:lang w:val="en-GB" w:eastAsia="nl-NL"/>
    </w:rPr>
  </w:style>
  <w:style w:type="paragraph" w:customStyle="1" w:styleId="ITEAHeading0">
    <w:name w:val="ITEA_Heading_0"/>
    <w:basedOn w:val="Heading2"/>
    <w:next w:val="ITEABodyText"/>
    <w:link w:val="ITEAHeading0Car"/>
    <w:qFormat/>
    <w:rsid w:val="00ED317B"/>
    <w:pPr>
      <w:pageBreakBefore/>
      <w:spacing w:before="0" w:after="360"/>
    </w:pPr>
  </w:style>
  <w:style w:type="character" w:customStyle="1" w:styleId="ITEAHeading0Car">
    <w:name w:val="ITEA_Heading_0 Car"/>
    <w:basedOn w:val="Heading2Char"/>
    <w:link w:val="ITEAHeading0"/>
    <w:rsid w:val="00ED317B"/>
    <w:rPr>
      <w:rFonts w:ascii="Arial" w:hAnsi="Arial"/>
      <w:b/>
      <w:color w:val="00A651" w:themeColor="accent1"/>
      <w:sz w:val="28"/>
      <w:szCs w:val="28"/>
    </w:rPr>
  </w:style>
  <w:style w:type="paragraph" w:customStyle="1" w:styleId="ITEAHeading1">
    <w:name w:val="ITEA_Heading_1"/>
    <w:basedOn w:val="Heading2withnumbering"/>
    <w:next w:val="ITEABodyText"/>
    <w:link w:val="ITEAHeading1Car"/>
    <w:qFormat/>
    <w:rsid w:val="00ED317B"/>
    <w:pPr>
      <w:pageBreakBefore/>
      <w:numPr>
        <w:numId w:val="4"/>
      </w:numPr>
      <w:spacing w:before="0" w:after="360"/>
    </w:pPr>
  </w:style>
  <w:style w:type="character" w:customStyle="1" w:styleId="ITEAHeading1Car">
    <w:name w:val="ITEA_Heading_1 Car"/>
    <w:basedOn w:val="Heading2withnumberingCar"/>
    <w:link w:val="ITEAHeading1"/>
    <w:rsid w:val="00ED317B"/>
    <w:rPr>
      <w:rFonts w:ascii="Arial" w:hAnsi="Arial"/>
      <w:b/>
      <w:color w:val="00A651" w:themeColor="accent1"/>
      <w:sz w:val="28"/>
      <w:szCs w:val="28"/>
      <w:lang w:val="en-GB"/>
    </w:rPr>
  </w:style>
  <w:style w:type="paragraph" w:customStyle="1" w:styleId="ITEAInstructions">
    <w:name w:val="ITEA_Instructions"/>
    <w:basedOn w:val="BodyTextExplanation"/>
    <w:link w:val="ITEAInstructionsCar"/>
    <w:qFormat/>
    <w:rsid w:val="005E777A"/>
    <w:rPr>
      <w:color w:val="00602B"/>
    </w:rPr>
  </w:style>
  <w:style w:type="character" w:customStyle="1" w:styleId="ITEAInstructionsCar">
    <w:name w:val="ITEA_Instructions Car"/>
    <w:basedOn w:val="BodyTextExplanationCar"/>
    <w:link w:val="ITEAInstructions"/>
    <w:rsid w:val="005E777A"/>
    <w:rPr>
      <w:rFonts w:ascii="Arial" w:eastAsia="Times New Roman" w:hAnsi="Arial" w:cs="Times New Roman"/>
      <w:i/>
      <w:color w:val="00602B"/>
      <w:spacing w:val="4"/>
      <w:sz w:val="20"/>
      <w:szCs w:val="24"/>
      <w:lang w:val="en-GB" w:eastAsia="nl-NL"/>
    </w:rPr>
  </w:style>
  <w:style w:type="paragraph" w:customStyle="1" w:styleId="ITEAAutoGeneratedSection">
    <w:name w:val="ITEA_AutoGeneratedSection"/>
    <w:basedOn w:val="Autogeneratedsection"/>
    <w:link w:val="ITEAAutoGeneratedSectionCar"/>
    <w:qFormat/>
    <w:rsid w:val="009238EC"/>
    <w:pPr>
      <w:jc w:val="left"/>
    </w:pPr>
  </w:style>
  <w:style w:type="character" w:customStyle="1" w:styleId="ITEAAutoGeneratedSectionCar">
    <w:name w:val="ITEA_AutoGeneratedSection Car"/>
    <w:basedOn w:val="AutogeneratedsectionCar"/>
    <w:link w:val="ITEAAutoGeneratedSection"/>
    <w:rsid w:val="009238EC"/>
    <w:rPr>
      <w:rFonts w:ascii="Arial" w:eastAsia="Times New Roman" w:hAnsi="Arial" w:cs="Times New Roman"/>
      <w:color w:val="F36F21" w:themeColor="accent3"/>
      <w:spacing w:val="4"/>
      <w:sz w:val="20"/>
      <w:szCs w:val="24"/>
      <w:lang w:val="en-GB" w:eastAsia="nl-NL"/>
    </w:rPr>
  </w:style>
  <w:style w:type="paragraph" w:customStyle="1" w:styleId="ITEAInstructionsBullet">
    <w:name w:val="ITEA_InstructionsBullet"/>
    <w:basedOn w:val="BodyTextExplanationBullet"/>
    <w:link w:val="ITEAInstructionsBulletCar"/>
    <w:qFormat/>
    <w:rsid w:val="005E777A"/>
    <w:pPr>
      <w:numPr>
        <w:numId w:val="9"/>
      </w:numPr>
    </w:pPr>
    <w:rPr>
      <w:color w:val="00602B"/>
    </w:rPr>
  </w:style>
  <w:style w:type="character" w:customStyle="1" w:styleId="ITEAInstructionsBulletCar">
    <w:name w:val="ITEA_InstructionsBullet Car"/>
    <w:basedOn w:val="BodyTextExplanationBulletCar"/>
    <w:link w:val="ITEAInstructionsBullet"/>
    <w:rsid w:val="005E777A"/>
    <w:rPr>
      <w:rFonts w:ascii="Arial" w:eastAsia="Times New Roman" w:hAnsi="Arial" w:cs="Times New Roman"/>
      <w:i/>
      <w:color w:val="00602B"/>
      <w:spacing w:val="4"/>
      <w:sz w:val="20"/>
      <w:szCs w:val="24"/>
      <w:lang w:val="en-GB" w:eastAsia="nl-NL"/>
    </w:rPr>
  </w:style>
  <w:style w:type="paragraph" w:customStyle="1" w:styleId="ITEAHeading2">
    <w:name w:val="ITEA_Heading_2"/>
    <w:basedOn w:val="Heading3withnumbering"/>
    <w:next w:val="ITEABodyText"/>
    <w:link w:val="ITEAHeading2Car"/>
    <w:qFormat/>
    <w:rsid w:val="00F876CD"/>
    <w:pPr>
      <w:numPr>
        <w:ilvl w:val="1"/>
        <w:numId w:val="4"/>
      </w:numPr>
      <w:spacing w:before="240" w:after="240"/>
    </w:pPr>
  </w:style>
  <w:style w:type="character" w:customStyle="1" w:styleId="ITEAHeading2Car">
    <w:name w:val="ITEA_Heading_2 Car"/>
    <w:basedOn w:val="Heading3withnumberingCar"/>
    <w:link w:val="ITEAHeading2"/>
    <w:rsid w:val="00F876CD"/>
    <w:rPr>
      <w:rFonts w:ascii="Arial" w:eastAsiaTheme="majorEastAsia" w:hAnsi="Arial" w:cs="Arial"/>
      <w:b/>
      <w:bCs/>
      <w:color w:val="7F7F7F" w:themeColor="text1" w:themeTint="80"/>
      <w:spacing w:val="4"/>
      <w:sz w:val="24"/>
      <w:szCs w:val="24"/>
      <w:lang w:val="en-GB" w:eastAsia="nl-NL"/>
    </w:rPr>
  </w:style>
  <w:style w:type="paragraph" w:customStyle="1" w:styleId="ITEAHeading3">
    <w:name w:val="ITEA_Heading_3"/>
    <w:basedOn w:val="Heading4withnumbering"/>
    <w:next w:val="ITEABodyText"/>
    <w:link w:val="ITEAHeading3Car"/>
    <w:qFormat/>
    <w:rsid w:val="00F876CD"/>
    <w:pPr>
      <w:numPr>
        <w:ilvl w:val="2"/>
        <w:numId w:val="4"/>
      </w:numPr>
      <w:spacing w:before="200" w:after="160"/>
      <w:ind w:left="794"/>
    </w:pPr>
  </w:style>
  <w:style w:type="character" w:customStyle="1" w:styleId="ITEAHeading3Car">
    <w:name w:val="ITEA_Heading_3 Car"/>
    <w:basedOn w:val="Heading4withnumberingCar"/>
    <w:link w:val="ITEAHeading3"/>
    <w:rsid w:val="00F876CD"/>
    <w:rPr>
      <w:rFonts w:ascii="Arial" w:eastAsia="Times New Roman" w:hAnsi="Arial" w:cs="Times New Roman"/>
      <w:b/>
      <w:color w:val="000000" w:themeColor="text1"/>
      <w:spacing w:val="4"/>
      <w:sz w:val="20"/>
      <w:szCs w:val="24"/>
      <w:lang w:val="en-GB" w:eastAsia="nl-NL"/>
    </w:rPr>
  </w:style>
  <w:style w:type="paragraph" w:customStyle="1" w:styleId="ITEAAnnexHeading1">
    <w:name w:val="ITEA_Annex_Heading_1"/>
    <w:basedOn w:val="Heading2"/>
    <w:link w:val="ITEAAnnexHeading1Car"/>
    <w:qFormat/>
    <w:rsid w:val="001658F2"/>
    <w:pPr>
      <w:pageBreakBefore/>
      <w:numPr>
        <w:numId w:val="11"/>
      </w:numPr>
    </w:pPr>
    <w:rPr>
      <w:lang w:val="en-GB"/>
    </w:rPr>
  </w:style>
  <w:style w:type="character" w:customStyle="1" w:styleId="ITEAAnnexHeading1Car">
    <w:name w:val="ITEA_Annex_Heading_1 Car"/>
    <w:basedOn w:val="Heading2Char"/>
    <w:link w:val="ITEAAnnexHeading1"/>
    <w:rsid w:val="001658F2"/>
    <w:rPr>
      <w:rFonts w:ascii="Arial" w:hAnsi="Arial"/>
      <w:b/>
      <w:color w:val="00A651" w:themeColor="accent1"/>
      <w:sz w:val="28"/>
      <w:szCs w:val="28"/>
      <w:lang w:val="en-GB"/>
    </w:rPr>
  </w:style>
  <w:style w:type="paragraph" w:customStyle="1" w:styleId="ITEABodyBullets">
    <w:name w:val="ITEA_BodyBullets"/>
    <w:basedOn w:val="Bullets"/>
    <w:link w:val="ITEABodyBulletsCar"/>
    <w:qFormat/>
    <w:rsid w:val="0018190B"/>
  </w:style>
  <w:style w:type="character" w:customStyle="1" w:styleId="ITEABodyBulletsCar">
    <w:name w:val="ITEA_BodyBullets Car"/>
    <w:basedOn w:val="BulletsCar"/>
    <w:link w:val="ITEABodyBullets"/>
    <w:rsid w:val="0018190B"/>
    <w:rPr>
      <w:rFonts w:ascii="Arial" w:eastAsia="Times New Roman" w:hAnsi="Arial" w:cs="Times New Roman"/>
      <w:color w:val="000000" w:themeColor="text1"/>
      <w:spacing w:val="4"/>
      <w:sz w:val="20"/>
      <w:szCs w:val="20"/>
      <w:lang w:val="en-GB" w:eastAsia="nl-NL"/>
    </w:rPr>
  </w:style>
  <w:style w:type="paragraph" w:customStyle="1" w:styleId="ITEATableBullets">
    <w:name w:val="ITEA_TableBullets"/>
    <w:basedOn w:val="Bulletsintables"/>
    <w:link w:val="ITEATableBulletsCar"/>
    <w:qFormat/>
    <w:rsid w:val="0018190B"/>
  </w:style>
  <w:style w:type="character" w:customStyle="1" w:styleId="ITEATableBulletsCar">
    <w:name w:val="ITEA_TableBullets Car"/>
    <w:basedOn w:val="BulletsintablesCar"/>
    <w:link w:val="ITEATableBullets"/>
    <w:rsid w:val="0018190B"/>
    <w:rPr>
      <w:rFonts w:ascii="Arial" w:eastAsia="Times New Roman" w:hAnsi="Arial" w:cs="Times New Roman"/>
      <w:color w:val="000000" w:themeColor="text1"/>
      <w:spacing w:val="4"/>
      <w:sz w:val="20"/>
      <w:szCs w:val="24"/>
      <w:lang w:val="en-GB" w:eastAsia="nl-NL"/>
    </w:rPr>
  </w:style>
  <w:style w:type="paragraph" w:customStyle="1" w:styleId="ITEAFigure">
    <w:name w:val="ITEA_Figure"/>
    <w:basedOn w:val="ITEABodyText"/>
    <w:link w:val="ITEAFigureCar"/>
    <w:qFormat/>
    <w:rsid w:val="00963638"/>
    <w:pPr>
      <w:spacing w:before="240"/>
      <w:jc w:val="center"/>
    </w:pPr>
  </w:style>
  <w:style w:type="character" w:customStyle="1" w:styleId="ITEAFigureCar">
    <w:name w:val="ITEA_Figure Car"/>
    <w:basedOn w:val="ITEABodyTextCar"/>
    <w:link w:val="ITEAFigure"/>
    <w:rsid w:val="00963638"/>
    <w:rPr>
      <w:rFonts w:ascii="Arial" w:eastAsia="Times New Roman" w:hAnsi="Arial" w:cs="Times New Roman"/>
      <w:color w:val="000000" w:themeColor="text1"/>
      <w:spacing w:val="4"/>
      <w:sz w:val="20"/>
      <w:szCs w:val="24"/>
      <w:lang w:val="en-GB" w:eastAsia="nl-NL"/>
    </w:rPr>
  </w:style>
  <w:style w:type="paragraph" w:styleId="TOCHeading">
    <w:name w:val="TOC Heading"/>
    <w:basedOn w:val="Heading1"/>
    <w:next w:val="Normal"/>
    <w:uiPriority w:val="39"/>
    <w:unhideWhenUsed/>
    <w:qFormat/>
    <w:locked/>
    <w:rsid w:val="007052B0"/>
    <w:pPr>
      <w:spacing w:line="276" w:lineRule="auto"/>
      <w:outlineLvl w:val="9"/>
    </w:pPr>
    <w:rPr>
      <w:rFonts w:asciiTheme="majorHAnsi" w:hAnsiTheme="majorHAnsi" w:cstheme="majorBidi"/>
      <w:color w:val="007C3C" w:themeColor="accent1" w:themeShade="BF"/>
      <w:spacing w:val="0"/>
      <w:sz w:val="28"/>
      <w:szCs w:val="28"/>
      <w:lang w:eastAsia="en-GB"/>
    </w:rPr>
  </w:style>
  <w:style w:type="paragraph" w:styleId="TOC4">
    <w:name w:val="toc 4"/>
    <w:basedOn w:val="Normal"/>
    <w:next w:val="Normal"/>
    <w:autoRedefine/>
    <w:uiPriority w:val="39"/>
    <w:unhideWhenUsed/>
    <w:rsid w:val="002C034A"/>
    <w:pPr>
      <w:ind w:left="600"/>
    </w:pPr>
    <w:rPr>
      <w:sz w:val="18"/>
      <w:szCs w:val="18"/>
    </w:rPr>
  </w:style>
  <w:style w:type="paragraph" w:styleId="TOC5">
    <w:name w:val="toc 5"/>
    <w:basedOn w:val="Normal"/>
    <w:next w:val="Normal"/>
    <w:autoRedefine/>
    <w:uiPriority w:val="39"/>
    <w:unhideWhenUsed/>
    <w:locked/>
    <w:rsid w:val="00660309"/>
    <w:pPr>
      <w:ind w:left="800"/>
    </w:pPr>
    <w:rPr>
      <w:sz w:val="18"/>
      <w:szCs w:val="18"/>
    </w:rPr>
  </w:style>
  <w:style w:type="paragraph" w:styleId="TOC6">
    <w:name w:val="toc 6"/>
    <w:basedOn w:val="Normal"/>
    <w:next w:val="Normal"/>
    <w:autoRedefine/>
    <w:uiPriority w:val="39"/>
    <w:unhideWhenUsed/>
    <w:locked/>
    <w:rsid w:val="007052B0"/>
    <w:pPr>
      <w:ind w:left="1000"/>
    </w:pPr>
    <w:rPr>
      <w:rFonts w:asciiTheme="minorHAnsi" w:hAnsiTheme="minorHAnsi"/>
      <w:sz w:val="18"/>
      <w:szCs w:val="18"/>
    </w:rPr>
  </w:style>
  <w:style w:type="paragraph" w:styleId="TOC7">
    <w:name w:val="toc 7"/>
    <w:basedOn w:val="Normal"/>
    <w:next w:val="Normal"/>
    <w:autoRedefine/>
    <w:uiPriority w:val="39"/>
    <w:unhideWhenUsed/>
    <w:locked/>
    <w:rsid w:val="007052B0"/>
    <w:pPr>
      <w:ind w:left="1200"/>
    </w:pPr>
    <w:rPr>
      <w:rFonts w:asciiTheme="minorHAnsi" w:hAnsiTheme="minorHAnsi"/>
      <w:sz w:val="18"/>
      <w:szCs w:val="18"/>
    </w:rPr>
  </w:style>
  <w:style w:type="paragraph" w:styleId="TOC8">
    <w:name w:val="toc 8"/>
    <w:basedOn w:val="Normal"/>
    <w:next w:val="Normal"/>
    <w:autoRedefine/>
    <w:uiPriority w:val="39"/>
    <w:unhideWhenUsed/>
    <w:locked/>
    <w:rsid w:val="007052B0"/>
    <w:pPr>
      <w:ind w:left="1400"/>
    </w:pPr>
    <w:rPr>
      <w:rFonts w:asciiTheme="minorHAnsi" w:hAnsiTheme="minorHAnsi"/>
      <w:sz w:val="18"/>
      <w:szCs w:val="18"/>
    </w:rPr>
  </w:style>
  <w:style w:type="paragraph" w:styleId="TOC9">
    <w:name w:val="toc 9"/>
    <w:basedOn w:val="Normal"/>
    <w:next w:val="Normal"/>
    <w:autoRedefine/>
    <w:uiPriority w:val="39"/>
    <w:unhideWhenUsed/>
    <w:locked/>
    <w:rsid w:val="007052B0"/>
    <w:pPr>
      <w:ind w:left="1600"/>
    </w:pPr>
    <w:rPr>
      <w:rFonts w:asciiTheme="minorHAnsi" w:hAnsiTheme="minorHAnsi"/>
      <w:sz w:val="18"/>
      <w:szCs w:val="18"/>
    </w:rPr>
  </w:style>
  <w:style w:type="table" w:styleId="MediumShading1-Accent2">
    <w:name w:val="Medium Shading 1 Accent 2"/>
    <w:aliases w:val="ITEA_Table"/>
    <w:basedOn w:val="TableNormal"/>
    <w:uiPriority w:val="63"/>
    <w:rsid w:val="001C2F7B"/>
    <w:pPr>
      <w:spacing w:before="60" w:after="60" w:line="240" w:lineRule="auto"/>
      <w:ind w:left="57" w:right="57"/>
    </w:pPr>
    <w:rPr>
      <w:rFonts w:ascii="Arial" w:hAnsi="Arial"/>
      <w:sz w:val="20"/>
    </w:rPr>
    <w:tblPr>
      <w:tblStyleRowBandSize w:val="1"/>
      <w:jc w:val="center"/>
      <w:tblInd w:w="0" w:type="dxa"/>
      <w:tblBorders>
        <w:top w:val="single" w:sz="4" w:space="0" w:color="808080" w:themeColor="background1" w:themeShade="80"/>
        <w:bottom w:val="single" w:sz="4" w:space="0" w:color="808080" w:themeColor="background1" w:themeShade="80"/>
      </w:tblBorders>
      <w:tblCellMar>
        <w:top w:w="85" w:type="dxa"/>
        <w:left w:w="108" w:type="dxa"/>
        <w:bottom w:w="85" w:type="dxa"/>
        <w:right w:w="108" w:type="dxa"/>
      </w:tblCellMar>
    </w:tblPr>
    <w:trPr>
      <w:jc w:val="center"/>
    </w:trPr>
    <w:tcPr>
      <w:shd w:val="clear" w:color="auto" w:fill="FFFFFF" w:themeFill="background1"/>
    </w:tcPr>
    <w:tblStylePr w:type="firstRow">
      <w:pPr>
        <w:wordWrap/>
        <w:spacing w:before="0" w:beforeAutospacing="0" w:after="0" w:afterAutospacing="0" w:line="240" w:lineRule="auto"/>
        <w:jc w:val="left"/>
      </w:pPr>
      <w:rPr>
        <w:rFonts w:ascii="Arial" w:hAnsi="Arial"/>
        <w:b w:val="0"/>
        <w:bCs/>
        <w:i w:val="0"/>
        <w:color w:val="auto"/>
        <w:sz w:val="22"/>
        <w:u w:val="none"/>
      </w:rPr>
      <w:tblPr>
        <w:tblCellMar>
          <w:top w:w="142" w:type="dxa"/>
          <w:left w:w="108" w:type="dxa"/>
          <w:bottom w:w="142" w:type="dxa"/>
          <w:right w:w="108" w:type="dxa"/>
        </w:tblCellMar>
      </w:tblPr>
      <w:trPr>
        <w:cantSplit/>
        <w:tblHeader/>
      </w:trPr>
      <w:tcPr>
        <w:tcBorders>
          <w:top w:val="single" w:sz="4" w:space="0" w:color="808080" w:themeColor="background1" w:themeShade="80"/>
          <w:left w:val="nil"/>
          <w:bottom w:val="single" w:sz="18" w:space="0" w:color="808080" w:themeColor="background1" w:themeShade="80"/>
          <w:right w:val="nil"/>
          <w:insideH w:val="nil"/>
          <w:insideV w:val="single" w:sz="4" w:space="0" w:color="808080" w:themeColor="background1" w:themeShade="80"/>
          <w:tl2br w:val="nil"/>
          <w:tr2bl w:val="nil"/>
        </w:tcBorders>
        <w:shd w:val="clear" w:color="auto" w:fill="A7D8B8"/>
        <w:vAlign w:val="center"/>
      </w:tcPr>
    </w:tblStylePr>
    <w:tblStylePr w:type="lastRow">
      <w:pPr>
        <w:spacing w:before="0" w:after="0" w:line="240" w:lineRule="auto"/>
      </w:pPr>
      <w:rPr>
        <w:b w:val="0"/>
        <w:bCs/>
      </w:rPr>
      <w:tblPr>
        <w:tblCellMar>
          <w:top w:w="142" w:type="dxa"/>
          <w:left w:w="108" w:type="dxa"/>
          <w:bottom w:w="142" w:type="dxa"/>
          <w:right w:w="108" w:type="dxa"/>
        </w:tblCellMar>
      </w:tblPr>
      <w:tcPr>
        <w:tcBorders>
          <w:top w:val="single" w:sz="18" w:space="0" w:color="808080" w:themeColor="background1" w:themeShade="80"/>
          <w:left w:val="nil"/>
          <w:bottom w:val="single" w:sz="4" w:space="0" w:color="808080" w:themeColor="background1" w:themeShade="80"/>
          <w:right w:val="nil"/>
          <w:insideH w:val="nil"/>
          <w:insideV w:val="single" w:sz="4" w:space="0" w:color="808080" w:themeColor="background1" w:themeShade="80"/>
          <w:tl2br w:val="nil"/>
          <w:tr2bl w:val="nil"/>
        </w:tcBorders>
        <w:shd w:val="clear" w:color="auto" w:fill="A7D8B8"/>
      </w:tcPr>
    </w:tblStylePr>
    <w:tblStylePr w:type="firstCol">
      <w:pPr>
        <w:jc w:val="left"/>
      </w:pPr>
      <w:rPr>
        <w:rFonts w:ascii="Arial" w:hAnsi="Arial"/>
        <w:b w:val="0"/>
        <w:bCs/>
        <w:sz w:val="20"/>
      </w:rPr>
      <w:tblPr/>
      <w:tcPr>
        <w:tcBorders>
          <w:top w:val="single" w:sz="4" w:space="0" w:color="808080" w:themeColor="background1" w:themeShade="80"/>
          <w:left w:val="nil"/>
          <w:bottom w:val="single" w:sz="4" w:space="0" w:color="808080" w:themeColor="background1" w:themeShade="80"/>
          <w:right w:val="single" w:sz="18" w:space="0" w:color="808080" w:themeColor="background1" w:themeShade="80"/>
          <w:insideH w:val="nil"/>
          <w:insideV w:val="nil"/>
          <w:tl2br w:val="nil"/>
          <w:tr2bl w:val="nil"/>
        </w:tcBorders>
        <w:shd w:val="clear" w:color="auto" w:fill="E1E1E1"/>
      </w:tcPr>
    </w:tblStylePr>
    <w:tblStylePr w:type="lastCol">
      <w:rPr>
        <w:rFonts w:ascii="Arial" w:hAnsi="Arial"/>
        <w:b w:val="0"/>
        <w:bCs/>
        <w:sz w:val="20"/>
      </w:rPr>
      <w:tblPr/>
      <w:tcPr>
        <w:tcBorders>
          <w:top w:val="single" w:sz="4" w:space="0" w:color="808080" w:themeColor="background1" w:themeShade="80"/>
          <w:left w:val="single" w:sz="18" w:space="0" w:color="808080" w:themeColor="background1" w:themeShade="80"/>
          <w:bottom w:val="single" w:sz="4" w:space="0" w:color="808080" w:themeColor="background1" w:themeShade="80"/>
          <w:right w:val="nil"/>
          <w:insideH w:val="nil"/>
          <w:insideV w:val="nil"/>
          <w:tl2br w:val="nil"/>
          <w:tr2bl w:val="nil"/>
        </w:tcBorders>
        <w:shd w:val="clear" w:color="auto" w:fill="E1E1E1"/>
      </w:tcPr>
    </w:tblStylePr>
    <w:tblStylePr w:type="band1Horz">
      <w:tblPr/>
      <w:tcPr>
        <w:tcBorders>
          <w:top w:val="single" w:sz="4" w:space="0" w:color="A6A6A6" w:themeColor="background1" w:themeShade="A6"/>
          <w:left w:val="nil"/>
          <w:bottom w:val="single" w:sz="4" w:space="0" w:color="A6A6A6" w:themeColor="background1" w:themeShade="A6"/>
          <w:right w:val="nil"/>
          <w:insideH w:val="nil"/>
          <w:insideV w:val="single" w:sz="4" w:space="0" w:color="A6A6A6" w:themeColor="background1" w:themeShade="A6"/>
          <w:tl2br w:val="nil"/>
          <w:tr2bl w:val="nil"/>
        </w:tcBorders>
        <w:shd w:val="clear" w:color="auto" w:fill="F9F9F9"/>
      </w:tcPr>
    </w:tblStylePr>
    <w:tblStylePr w:type="band2Horz">
      <w:tblPr/>
      <w:tcPr>
        <w:tcBorders>
          <w:top w:val="single" w:sz="4" w:space="0" w:color="A6A6A6" w:themeColor="background1" w:themeShade="A6"/>
          <w:left w:val="nil"/>
          <w:bottom w:val="single" w:sz="4" w:space="0" w:color="A6A6A6" w:themeColor="background1" w:themeShade="A6"/>
          <w:right w:val="nil"/>
          <w:insideH w:val="nil"/>
          <w:insideV w:val="single" w:sz="4" w:space="0" w:color="BFBFBF" w:themeColor="background1" w:themeShade="BF"/>
          <w:tl2br w:val="nil"/>
          <w:tr2bl w:val="nil"/>
        </w:tcBorders>
        <w:shd w:val="clear" w:color="auto" w:fill="FFFFFF" w:themeFill="background1"/>
      </w:tcPr>
    </w:tblStylePr>
    <w:tblStylePr w:type="seCell">
      <w:tblPr/>
      <w:tcPr>
        <w:tcBorders>
          <w:top w:val="single" w:sz="18" w:space="0" w:color="808080" w:themeColor="background1" w:themeShade="80"/>
          <w:left w:val="single" w:sz="4" w:space="0" w:color="808080" w:themeColor="background1" w:themeShade="80"/>
          <w:bottom w:val="single" w:sz="4" w:space="0" w:color="808080" w:themeColor="background1" w:themeShade="80"/>
          <w:right w:val="nil"/>
          <w:insideH w:val="nil"/>
          <w:insideV w:val="nil"/>
          <w:tl2br w:val="nil"/>
          <w:tr2bl w:val="nil"/>
        </w:tcBorders>
        <w:shd w:val="clear" w:color="auto" w:fill="A7D8B8"/>
      </w:tcPr>
    </w:tblStylePr>
  </w:style>
  <w:style w:type="table" w:customStyle="1" w:styleId="HellesRaster1">
    <w:name w:val="Helles Raster1"/>
    <w:basedOn w:val="TableNormal"/>
    <w:uiPriority w:val="62"/>
    <w:locked/>
    <w:rsid w:val="00E74DC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HelleSchattierung-Akzent11">
    <w:name w:val="Helle Schattierung - Akzent 11"/>
    <w:basedOn w:val="TableNormal"/>
    <w:uiPriority w:val="60"/>
    <w:locked/>
    <w:rsid w:val="00E74DCD"/>
    <w:pPr>
      <w:spacing w:after="0" w:line="240" w:lineRule="auto"/>
    </w:pPr>
    <w:rPr>
      <w:color w:val="007C3C" w:themeColor="accent1" w:themeShade="BF"/>
    </w:rPr>
    <w:tblPr>
      <w:tblStyleRowBandSize w:val="1"/>
      <w:tblStyleColBandSize w:val="1"/>
      <w:tblInd w:w="0" w:type="dxa"/>
      <w:tblBorders>
        <w:top w:val="single" w:sz="8" w:space="0" w:color="00A651" w:themeColor="accent1"/>
        <w:bottom w:val="single" w:sz="8" w:space="0" w:color="00A651"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A651" w:themeColor="accent1"/>
          <w:left w:val="nil"/>
          <w:bottom w:val="single" w:sz="8" w:space="0" w:color="00A651" w:themeColor="accent1"/>
          <w:right w:val="nil"/>
          <w:insideH w:val="nil"/>
          <w:insideV w:val="nil"/>
        </w:tcBorders>
      </w:tcPr>
    </w:tblStylePr>
    <w:tblStylePr w:type="lastRow">
      <w:pPr>
        <w:spacing w:before="0" w:after="0" w:line="240" w:lineRule="auto"/>
      </w:pPr>
      <w:rPr>
        <w:b/>
        <w:bCs/>
      </w:rPr>
      <w:tblPr/>
      <w:tcPr>
        <w:tcBorders>
          <w:top w:val="single" w:sz="8" w:space="0" w:color="00A651" w:themeColor="accent1"/>
          <w:left w:val="nil"/>
          <w:bottom w:val="single" w:sz="8" w:space="0" w:color="00A65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FD3" w:themeFill="accent1" w:themeFillTint="3F"/>
      </w:tcPr>
    </w:tblStylePr>
    <w:tblStylePr w:type="band1Horz">
      <w:tblPr/>
      <w:tcPr>
        <w:tcBorders>
          <w:left w:val="nil"/>
          <w:right w:val="nil"/>
          <w:insideH w:val="nil"/>
          <w:insideV w:val="nil"/>
        </w:tcBorders>
        <w:shd w:val="clear" w:color="auto" w:fill="AAFFD3" w:themeFill="accent1" w:themeFillTint="3F"/>
      </w:tcPr>
    </w:tblStylePr>
  </w:style>
  <w:style w:type="paragraph" w:customStyle="1" w:styleId="ITEATableOfContent">
    <w:name w:val="ITEA_TableOfContent"/>
    <w:basedOn w:val="ITEAHeading0"/>
    <w:next w:val="ITEABodyText"/>
    <w:link w:val="ITEATableOfContentCar"/>
    <w:rsid w:val="00ED317B"/>
    <w:pPr>
      <w:outlineLvl w:val="9"/>
    </w:pPr>
  </w:style>
  <w:style w:type="character" w:customStyle="1" w:styleId="ITEATableOfContentCar">
    <w:name w:val="ITEA_TableOfContent Car"/>
    <w:basedOn w:val="ITEAHeading0Car"/>
    <w:link w:val="ITEATableOfContent"/>
    <w:rsid w:val="00ED317B"/>
    <w:rPr>
      <w:rFonts w:ascii="Arial" w:hAnsi="Arial"/>
      <w:b/>
      <w:color w:val="00A651" w:themeColor="accent1"/>
      <w:sz w:val="28"/>
      <w:szCs w:val="28"/>
    </w:rPr>
  </w:style>
  <w:style w:type="paragraph" w:styleId="Revision">
    <w:name w:val="Revision"/>
    <w:hidden/>
    <w:uiPriority w:val="99"/>
    <w:semiHidden/>
    <w:rsid w:val="00597824"/>
    <w:pPr>
      <w:spacing w:after="0" w:line="240" w:lineRule="auto"/>
    </w:pPr>
    <w:rPr>
      <w:rFonts w:ascii="Arial" w:eastAsia="Times New Roman" w:hAnsi="Arial" w:cs="Times New Roman"/>
      <w:color w:val="000000" w:themeColor="text1"/>
      <w:spacing w:val="4"/>
      <w:sz w:val="20"/>
      <w:szCs w:val="24"/>
      <w:lang w:val="en-GB" w:eastAsia="nl-NL"/>
    </w:rPr>
  </w:style>
  <w:style w:type="table" w:customStyle="1" w:styleId="ITEATableTitle">
    <w:name w:val="ITEA_TableTitle"/>
    <w:basedOn w:val="TableNormal"/>
    <w:uiPriority w:val="99"/>
    <w:rsid w:val="00F81F2C"/>
    <w:pPr>
      <w:widowControl w:val="0"/>
      <w:spacing w:after="0" w:line="240" w:lineRule="auto"/>
      <w:jc w:val="center"/>
    </w:pPr>
    <w:rPr>
      <w:rFonts w:ascii="Arial" w:hAnsi="Arial"/>
      <w:smallCaps/>
      <w:color w:val="FFFFFF" w:themeColor="background1"/>
    </w:rPr>
    <w:tblPr>
      <w:tblStyleRowBandSize w:val="1"/>
      <w:jc w:val="center"/>
      <w:tblInd w:w="0" w:type="dxa"/>
      <w:tblBorders>
        <w:top w:val="single" w:sz="4" w:space="0" w:color="808080" w:themeColor="background1" w:themeShade="80"/>
        <w:bottom w:val="single" w:sz="4" w:space="0" w:color="808080" w:themeColor="background1" w:themeShade="80"/>
      </w:tblBorders>
      <w:tblCellMar>
        <w:top w:w="170" w:type="dxa"/>
        <w:left w:w="108" w:type="dxa"/>
        <w:bottom w:w="170" w:type="dxa"/>
        <w:right w:w="108" w:type="dxa"/>
      </w:tblCellMar>
    </w:tblPr>
    <w:trPr>
      <w:jc w:val="center"/>
    </w:trPr>
    <w:tcPr>
      <w:shd w:val="clear" w:color="auto" w:fill="FFFFFF" w:themeFill="background1"/>
      <w:vAlign w:val="center"/>
    </w:tcPr>
    <w:tblStylePr w:type="firstRow">
      <w:pPr>
        <w:keepNext w:val="0"/>
        <w:keepLines w:val="0"/>
        <w:pageBreakBefore w:val="0"/>
        <w:widowControl w:val="0"/>
        <w:suppressLineNumbers w:val="0"/>
        <w:suppressAutoHyphens w:val="0"/>
        <w:wordWrap/>
        <w:spacing w:beforeLines="0" w:beforeAutospacing="0" w:afterLines="0" w:afterAutospacing="0" w:line="240" w:lineRule="auto"/>
        <w:ind w:leftChars="0" w:left="0" w:rightChars="0" w:right="0" w:firstLineChars="0" w:firstLine="0"/>
        <w:contextualSpacing w:val="0"/>
        <w:jc w:val="center"/>
        <w:outlineLvl w:val="9"/>
      </w:pPr>
      <w:rPr>
        <w:rFonts w:ascii="Arial" w:hAnsi="Arial"/>
        <w:b/>
        <w:caps w:val="0"/>
        <w:smallCaps w:val="0"/>
        <w:strike w:val="0"/>
        <w:dstrike w:val="0"/>
        <w:vanish w:val="0"/>
        <w:color w:val="FFFFFF" w:themeColor="background1"/>
        <w:sz w:val="24"/>
        <w:u w:val="none"/>
        <w:vertAlign w:val="baseline"/>
      </w:rPr>
      <w:tblPr/>
      <w:tcPr>
        <w:shd w:val="clear" w:color="auto" w:fill="42BA7C"/>
      </w:tcPr>
    </w:tblStylePr>
    <w:tblStylePr w:type="lastRow">
      <w:rPr>
        <w:color w:val="FFFFFF" w:themeColor="background1"/>
      </w:rPr>
    </w:tblStylePr>
  </w:style>
  <w:style w:type="paragraph" w:customStyle="1" w:styleId="ITEAInstructionsBullet-within">
    <w:name w:val="ITEA_InstructionsBullet-within"/>
    <w:basedOn w:val="ITEAInstructions"/>
    <w:rsid w:val="0003576E"/>
    <w:pPr>
      <w:numPr>
        <w:numId w:val="12"/>
      </w:numPr>
      <w:spacing w:before="120"/>
      <w:ind w:left="357" w:hanging="357"/>
    </w:pPr>
  </w:style>
  <w:style w:type="paragraph" w:customStyle="1" w:styleId="ITEAAutoGeneratedSection-bullet">
    <w:name w:val="ITEA_AutoGeneratedSection-bullet"/>
    <w:basedOn w:val="ITEAAutoGeneratedSection"/>
    <w:rsid w:val="00A02CCA"/>
    <w:pPr>
      <w:numPr>
        <w:numId w:val="13"/>
      </w:numPr>
      <w:spacing w:before="120"/>
      <w:ind w:left="357" w:hanging="357"/>
    </w:pPr>
  </w:style>
  <w:style w:type="table" w:customStyle="1" w:styleId="HelleSchattierung1">
    <w:name w:val="Helle Schattierung1"/>
    <w:basedOn w:val="TableNormal"/>
    <w:uiPriority w:val="60"/>
    <w:locked/>
    <w:rsid w:val="00F23C1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ITEAHeading2wonum">
    <w:name w:val="ITEA_Heading_2_wo_num"/>
    <w:basedOn w:val="ITEAHeading2"/>
    <w:rsid w:val="00700D91"/>
    <w:pPr>
      <w:numPr>
        <w:ilvl w:val="0"/>
        <w:numId w:val="0"/>
      </w:numPr>
    </w:pPr>
  </w:style>
  <w:style w:type="paragraph" w:customStyle="1" w:styleId="ITEAHeading4">
    <w:name w:val="ITEA_Heading_4"/>
    <w:basedOn w:val="ITEAHeading3"/>
    <w:next w:val="ITEABodyText"/>
    <w:rsid w:val="00AF323F"/>
    <w:pPr>
      <w:numPr>
        <w:ilvl w:val="3"/>
      </w:numPr>
      <w:spacing w:before="160" w:after="120"/>
    </w:pPr>
    <w:rPr>
      <w:color w:val="7F7F7F"/>
    </w:rPr>
  </w:style>
  <w:style w:type="paragraph" w:customStyle="1" w:styleId="ITEATitle">
    <w:name w:val="ITEA_Title"/>
    <w:basedOn w:val="ITEABodyText"/>
    <w:link w:val="ITEATitleCar"/>
    <w:qFormat/>
    <w:rsid w:val="00676F0D"/>
    <w:pPr>
      <w:spacing w:before="480"/>
    </w:pPr>
    <w:rPr>
      <w:b/>
      <w:color w:val="00B050"/>
      <w:sz w:val="48"/>
      <w:szCs w:val="48"/>
    </w:rPr>
  </w:style>
  <w:style w:type="character" w:customStyle="1" w:styleId="ITEATitleCar">
    <w:name w:val="ITEA_Title Car"/>
    <w:basedOn w:val="ITEABodyTextCar"/>
    <w:link w:val="ITEATitle"/>
    <w:rsid w:val="00676F0D"/>
    <w:rPr>
      <w:rFonts w:ascii="Arial" w:eastAsia="Times New Roman" w:hAnsi="Arial" w:cs="Times New Roman"/>
      <w:b/>
      <w:color w:val="00B050"/>
      <w:spacing w:val="4"/>
      <w:sz w:val="48"/>
      <w:szCs w:val="48"/>
      <w:lang w:val="en-GB" w:eastAsia="nl-NL"/>
    </w:rPr>
  </w:style>
  <w:style w:type="paragraph" w:customStyle="1" w:styleId="ITEASubTitle">
    <w:name w:val="ITEA_SubTitle"/>
    <w:basedOn w:val="Normal"/>
    <w:rsid w:val="00246F8D"/>
    <w:rPr>
      <w:color w:val="auto"/>
      <w:sz w:val="36"/>
    </w:rPr>
  </w:style>
  <w:style w:type="paragraph" w:customStyle="1" w:styleId="ITEAHeadingTableOfContents">
    <w:name w:val="ITEA_Heading_TableOfContents"/>
    <w:basedOn w:val="Heading2"/>
    <w:next w:val="ITEABodyText"/>
    <w:rsid w:val="00D87520"/>
    <w:pPr>
      <w:numPr>
        <w:numId w:val="14"/>
      </w:numPr>
      <w:spacing w:before="360" w:after="360"/>
    </w:pPr>
  </w:style>
  <w:style w:type="paragraph" w:customStyle="1" w:styleId="ITEAHeading0-bis">
    <w:name w:val="ITEA_Heading_0-bis"/>
    <w:basedOn w:val="ITEAHeading1"/>
    <w:next w:val="ITEABodyText"/>
    <w:locked/>
    <w:rsid w:val="00244204"/>
  </w:style>
  <w:style w:type="paragraph" w:customStyle="1" w:styleId="ITEAHeading5">
    <w:name w:val="ITEA_Heading_5"/>
    <w:basedOn w:val="ITEAHeading4"/>
    <w:next w:val="ITEABodyBullets"/>
    <w:locked/>
    <w:rsid w:val="00D001BC"/>
    <w:rPr>
      <w:color w:val="00A651" w:themeColor="accent1"/>
      <w:sz w:val="28"/>
    </w:rPr>
  </w:style>
  <w:style w:type="paragraph" w:customStyle="1" w:styleId="ITEATM1">
    <w:name w:val="ITEA_TM1"/>
    <w:basedOn w:val="TOC1"/>
    <w:locked/>
    <w:rsid w:val="00B80C60"/>
    <w:pPr>
      <w:tabs>
        <w:tab w:val="left" w:pos="1200"/>
        <w:tab w:val="right" w:leader="dot" w:pos="9060"/>
      </w:tabs>
    </w:pPr>
    <w:rPr>
      <w:noProof/>
      <w:color w:val="00A651" w:themeColor="accent1"/>
    </w:rPr>
  </w:style>
  <w:style w:type="paragraph" w:customStyle="1" w:styleId="ITEATM2">
    <w:name w:val="ITEA_TM2"/>
    <w:basedOn w:val="TOC2"/>
    <w:locked/>
    <w:rsid w:val="00B80C60"/>
    <w:rPr>
      <w:color w:val="00A651" w:themeColor="accent1"/>
    </w:rPr>
  </w:style>
  <w:style w:type="paragraph" w:customStyle="1" w:styleId="ITEATM3">
    <w:name w:val="ITEA_TM3"/>
    <w:basedOn w:val="TOC3"/>
    <w:locked/>
    <w:rsid w:val="00B80C60"/>
    <w:pPr>
      <w:tabs>
        <w:tab w:val="left" w:pos="1200"/>
      </w:tabs>
    </w:pPr>
    <w:rPr>
      <w:color w:val="00A651" w:themeColor="accent1"/>
    </w:rPr>
  </w:style>
  <w:style w:type="paragraph" w:customStyle="1" w:styleId="ITEASubTitle2">
    <w:name w:val="ITEA_SubTitle2"/>
    <w:basedOn w:val="ITEASubTitle"/>
    <w:next w:val="ITEABodyText"/>
    <w:rsid w:val="00246F8D"/>
    <w:rPr>
      <w:color w:val="7F7F7F" w:themeColor="accent2"/>
      <w:sz w:val="28"/>
      <w:szCs w:val="28"/>
    </w:rPr>
  </w:style>
  <w:style w:type="table" w:customStyle="1" w:styleId="TestStyle">
    <w:name w:val="TestStyle"/>
    <w:basedOn w:val="TableTheme"/>
    <w:uiPriority w:val="99"/>
    <w:rsid w:val="00BB24C9"/>
    <w:pPr>
      <w:spacing w:line="240" w:lineRule="auto"/>
    </w:pPr>
    <w:rPr>
      <w:rFonts w:ascii="Calibri" w:hAnsi="Calibri"/>
    </w:rPr>
    <w:tblPr>
      <w:tblInd w:w="0" w:type="dxa"/>
      <w:tblBorders>
        <w:top w:val="single" w:sz="8" w:space="0" w:color="6ED09A"/>
        <w:left w:val="single" w:sz="8" w:space="0" w:color="6ED09A"/>
        <w:bottom w:val="single" w:sz="8" w:space="0" w:color="6ED09A"/>
        <w:right w:val="single" w:sz="8" w:space="0" w:color="6ED09A"/>
        <w:insideH w:val="single" w:sz="8" w:space="0" w:color="6ED09A"/>
        <w:insideV w:val="single" w:sz="8" w:space="0" w:color="6ED09A"/>
      </w:tblBorders>
      <w:tblCellMar>
        <w:top w:w="0" w:type="dxa"/>
        <w:left w:w="108" w:type="dxa"/>
        <w:bottom w:w="0" w:type="dxa"/>
        <w:right w:w="108" w:type="dxa"/>
      </w:tblCellMar>
    </w:tblPr>
  </w:style>
  <w:style w:type="table" w:styleId="TableTheme">
    <w:name w:val="Table Theme"/>
    <w:basedOn w:val="TableNormal"/>
    <w:uiPriority w:val="99"/>
    <w:semiHidden/>
    <w:unhideWhenUsed/>
    <w:locked/>
    <w:rsid w:val="00BB24C9"/>
    <w:pPr>
      <w:spacing w:after="0" w:line="288"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72E2"/>
    <w:pPr>
      <w:autoSpaceDE w:val="0"/>
      <w:autoSpaceDN w:val="0"/>
      <w:adjustRightInd w:val="0"/>
      <w:spacing w:after="0" w:line="240" w:lineRule="auto"/>
    </w:pPr>
    <w:rPr>
      <w:rFonts w:ascii="Arial" w:hAnsi="Arial" w:cs="Arial"/>
      <w:color w:val="000000"/>
      <w:sz w:val="24"/>
      <w:szCs w:val="24"/>
      <w:lang w:val="en-US"/>
    </w:rPr>
  </w:style>
  <w:style w:type="paragraph" w:styleId="NormalWeb">
    <w:name w:val="Normal (Web)"/>
    <w:basedOn w:val="Normal"/>
    <w:uiPriority w:val="99"/>
    <w:semiHidden/>
    <w:unhideWhenUsed/>
    <w:locked/>
    <w:rsid w:val="009772E2"/>
    <w:pPr>
      <w:spacing w:before="100" w:beforeAutospacing="1" w:after="100" w:afterAutospacing="1" w:line="240" w:lineRule="auto"/>
    </w:pPr>
    <w:rPr>
      <w:rFonts w:ascii="Times New Roman" w:hAnsi="Times New Roman"/>
      <w:color w:val="auto"/>
      <w:spacing w:val="0"/>
      <w:sz w:val="24"/>
      <w:lang w:val="en-US" w:eastAsia="en-US"/>
    </w:rPr>
  </w:style>
  <w:style w:type="paragraph" w:customStyle="1" w:styleId="Standard1">
    <w:name w:val="Standard1"/>
    <w:rsid w:val="002D1C53"/>
    <w:pPr>
      <w:suppressAutoHyphens/>
      <w:autoSpaceDN w:val="0"/>
      <w:spacing w:after="0" w:line="288" w:lineRule="auto"/>
      <w:textAlignment w:val="baseline"/>
    </w:pPr>
    <w:rPr>
      <w:rFonts w:ascii="Arial" w:eastAsia="Times New Roman" w:hAnsi="Arial" w:cs="Times New Roman"/>
      <w:color w:val="000000"/>
      <w:spacing w:val="4"/>
      <w:kern w:val="3"/>
      <w:sz w:val="20"/>
      <w:szCs w:val="24"/>
      <w:lang w:val="en-GB" w:eastAsia="nl-NL"/>
    </w:rPr>
  </w:style>
  <w:style w:type="paragraph" w:styleId="FootnoteText">
    <w:name w:val="footnote text"/>
    <w:basedOn w:val="Normal"/>
    <w:link w:val="FootnoteTextChar"/>
    <w:uiPriority w:val="99"/>
    <w:unhideWhenUsed/>
    <w:locked/>
    <w:rsid w:val="00FF4CCF"/>
    <w:pPr>
      <w:spacing w:line="240" w:lineRule="auto"/>
    </w:pPr>
    <w:rPr>
      <w:sz w:val="24"/>
    </w:rPr>
  </w:style>
  <w:style w:type="character" w:customStyle="1" w:styleId="FootnoteTextChar">
    <w:name w:val="Footnote Text Char"/>
    <w:basedOn w:val="DefaultParagraphFont"/>
    <w:link w:val="FootnoteText"/>
    <w:uiPriority w:val="99"/>
    <w:rsid w:val="00FF4CCF"/>
    <w:rPr>
      <w:rFonts w:ascii="Arial" w:eastAsia="Times New Roman" w:hAnsi="Arial" w:cs="Times New Roman"/>
      <w:color w:val="000000" w:themeColor="text1"/>
      <w:spacing w:val="4"/>
      <w:sz w:val="24"/>
      <w:szCs w:val="24"/>
      <w:lang w:val="en-GB" w:eastAsia="nl-NL"/>
    </w:rPr>
  </w:style>
  <w:style w:type="character" w:styleId="FootnoteReference">
    <w:name w:val="footnote reference"/>
    <w:aliases w:val="Footnote symbol,Times 10 Point,Exposant 3 Point, Exposant 3 Point"/>
    <w:basedOn w:val="DefaultParagraphFont"/>
    <w:uiPriority w:val="99"/>
    <w:unhideWhenUsed/>
    <w:locked/>
    <w:rsid w:val="00FF4CCF"/>
    <w:rPr>
      <w:vertAlign w:val="superscript"/>
    </w:rPr>
  </w:style>
  <w:style w:type="character" w:customStyle="1" w:styleId="InternetLink">
    <w:name w:val="Internet Link"/>
    <w:rsid w:val="00520839"/>
    <w:rPr>
      <w:color w:val="000080"/>
      <w:u w:val="single"/>
    </w:rPr>
  </w:style>
  <w:style w:type="paragraph" w:customStyle="1" w:styleId="Corpsdetexte1">
    <w:name w:val="Corps de texte1"/>
    <w:basedOn w:val="Normal"/>
    <w:rsid w:val="00721558"/>
    <w:pPr>
      <w:suppressAutoHyphens/>
      <w:overflowPunct w:val="0"/>
    </w:pPr>
    <w:rPr>
      <w:color w:val="000000"/>
    </w:rPr>
  </w:style>
  <w:style w:type="paragraph" w:customStyle="1" w:styleId="Corpsdetexte2">
    <w:name w:val="Corps de texte2"/>
    <w:basedOn w:val="Normal"/>
    <w:link w:val="BodyTextChar"/>
    <w:locked/>
    <w:rsid w:val="00721558"/>
    <w:pPr>
      <w:suppressAutoHyphens/>
    </w:pPr>
  </w:style>
  <w:style w:type="character" w:customStyle="1" w:styleId="BodyTextChar">
    <w:name w:val="Body Text Char"/>
    <w:basedOn w:val="DefaultParagraphFont"/>
    <w:link w:val="Corpsdetexte2"/>
    <w:rsid w:val="005E1BC9"/>
    <w:rPr>
      <w:rFonts w:ascii="Arial" w:eastAsia="Times New Roman" w:hAnsi="Arial" w:cs="Times New Roman"/>
      <w:color w:val="000000" w:themeColor="text1"/>
      <w:spacing w:val="4"/>
      <w:sz w:val="20"/>
      <w:szCs w:val="24"/>
      <w:lang w:val="en-GB" w:eastAsia="nl-NL"/>
    </w:rPr>
  </w:style>
  <w:style w:type="paragraph" w:customStyle="1" w:styleId="BBU">
    <w:name w:val="BBU"/>
    <w:qFormat/>
    <w:rsid w:val="005E1BC9"/>
    <w:pPr>
      <w:suppressAutoHyphens/>
      <w:spacing w:before="120" w:after="120" w:line="240" w:lineRule="auto"/>
    </w:pPr>
    <w:rPr>
      <w:rFonts w:ascii="Arial" w:eastAsia="Times New Roman" w:hAnsi="Arial" w:cs="Times New Roman"/>
      <w:b/>
      <w:bCs/>
      <w:spacing w:val="4"/>
      <w:sz w:val="20"/>
      <w:szCs w:val="24"/>
      <w:u w:val="single"/>
      <w:lang w:val="en-IE" w:eastAsia="nl-NL"/>
    </w:rPr>
  </w:style>
  <w:style w:type="paragraph" w:customStyle="1" w:styleId="TaskBodyText">
    <w:name w:val="Task Body Text"/>
    <w:basedOn w:val="Corpsdetexte2"/>
    <w:qFormat/>
    <w:rsid w:val="005E1BC9"/>
    <w:pPr>
      <w:widowControl w:val="0"/>
      <w:spacing w:before="120" w:after="120" w:line="240" w:lineRule="auto"/>
      <w:ind w:left="720"/>
      <w:jc w:val="both"/>
    </w:pPr>
    <w:rPr>
      <w:szCs w:val="20"/>
    </w:rPr>
  </w:style>
  <w:style w:type="paragraph" w:customStyle="1" w:styleId="ASSUMEDeliverableTitle">
    <w:name w:val="ASSUME_Deliverable_Title"/>
    <w:basedOn w:val="ITEATitle"/>
    <w:rsid w:val="00C14377"/>
    <w:pPr>
      <w:spacing w:before="2480"/>
    </w:pPr>
  </w:style>
  <w:style w:type="paragraph" w:styleId="NormalIndent">
    <w:name w:val="Normal Indent"/>
    <w:aliases w:val="Char,Char Char,Standardeinzug Char Char Char Char Char,Standardeinzug Char Char Char Char,Char Char Char,Char Char Char Char Char, Char Char Char Char Char Char,Normal Indent Char, Char, Char Char Char, Char Char Char Char Char"/>
    <w:basedOn w:val="Normal"/>
    <w:link w:val="NormalIndentChar1"/>
    <w:locked/>
    <w:rsid w:val="00ED193F"/>
    <w:pPr>
      <w:spacing w:after="60" w:line="240" w:lineRule="auto"/>
      <w:jc w:val="both"/>
    </w:pPr>
    <w:rPr>
      <w:color w:val="auto"/>
      <w:spacing w:val="0"/>
      <w:lang w:eastAsia="de-DE"/>
    </w:rPr>
  </w:style>
  <w:style w:type="paragraph" w:customStyle="1" w:styleId="Title1">
    <w:name w:val="Title 1"/>
    <w:basedOn w:val="Normal"/>
    <w:rsid w:val="00ED193F"/>
    <w:pPr>
      <w:spacing w:before="800" w:after="200" w:line="240" w:lineRule="auto"/>
      <w:jc w:val="right"/>
    </w:pPr>
    <w:rPr>
      <w:b/>
      <w:color w:val="auto"/>
      <w:spacing w:val="0"/>
      <w:sz w:val="52"/>
      <w:lang w:eastAsia="de-DE"/>
    </w:rPr>
  </w:style>
  <w:style w:type="paragraph" w:customStyle="1" w:styleId="Title2">
    <w:name w:val="Title 2"/>
    <w:basedOn w:val="Title1"/>
    <w:rsid w:val="00ED193F"/>
    <w:pPr>
      <w:spacing w:before="200" w:after="100"/>
    </w:pPr>
    <w:rPr>
      <w:b w:val="0"/>
    </w:rPr>
  </w:style>
  <w:style w:type="paragraph" w:customStyle="1" w:styleId="TableBody">
    <w:name w:val="TableBody"/>
    <w:basedOn w:val="Normal"/>
    <w:rsid w:val="00ED193F"/>
    <w:pPr>
      <w:spacing w:before="60" w:after="40" w:line="240" w:lineRule="auto"/>
    </w:pPr>
    <w:rPr>
      <w:color w:val="auto"/>
      <w:spacing w:val="0"/>
      <w:sz w:val="22"/>
      <w:szCs w:val="22"/>
      <w:lang w:val="en-US" w:eastAsia="en-US"/>
    </w:rPr>
  </w:style>
  <w:style w:type="character" w:customStyle="1" w:styleId="NormalIndentChar1">
    <w:name w:val="Normal Indent Char1"/>
    <w:aliases w:val="Char Char1,Char Char Char1,Standardeinzug Char Char Char Char Char Char,Standardeinzug Char Char Char Char Char1,Char Char Char Char,Char Char Char Char Char Char, Char Char Char Char Char Char Char,Normal Indent Char Char, Char Char"/>
    <w:link w:val="NormalIndent"/>
    <w:rsid w:val="00ED193F"/>
    <w:rPr>
      <w:rFonts w:ascii="Arial" w:eastAsia="Times New Roman" w:hAnsi="Arial" w:cs="Times New Roman"/>
      <w:sz w:val="20"/>
      <w:szCs w:val="24"/>
      <w:lang w:val="en-GB" w:eastAsia="de-DE"/>
    </w:rPr>
  </w:style>
  <w:style w:type="paragraph" w:styleId="TableofFigures">
    <w:name w:val="table of figures"/>
    <w:basedOn w:val="TOC1"/>
    <w:next w:val="TOC2"/>
    <w:uiPriority w:val="99"/>
    <w:unhideWhenUsed/>
    <w:locked/>
    <w:rsid w:val="00503B13"/>
  </w:style>
  <w:style w:type="paragraph" w:customStyle="1" w:styleId="Literaturverzeichnis1">
    <w:name w:val="Literaturverzeichnis1"/>
    <w:basedOn w:val="Normal"/>
    <w:rsid w:val="002A59CE"/>
    <w:pPr>
      <w:keepLines/>
      <w:numPr>
        <w:numId w:val="15"/>
      </w:numPr>
      <w:spacing w:before="80" w:after="80" w:line="240" w:lineRule="auto"/>
      <w:jc w:val="both"/>
      <w:outlineLvl w:val="0"/>
    </w:pPr>
    <w:rPr>
      <w:bCs/>
      <w:color w:val="auto"/>
      <w:spacing w:val="0"/>
      <w:kern w:val="28"/>
      <w:sz w:val="22"/>
      <w:szCs w:val="32"/>
      <w:lang w:val="en-US" w:eastAsia="de-DE"/>
    </w:rPr>
  </w:style>
  <w:style w:type="numbering" w:customStyle="1" w:styleId="StyleNumberedBefore0cmHanging1cm1">
    <w:name w:val="Style Numbered Before:  0 cm Hanging:  1 cm1"/>
    <w:basedOn w:val="NoList"/>
    <w:rsid w:val="002A59CE"/>
    <w:pPr>
      <w:numPr>
        <w:numId w:val="16"/>
      </w:numPr>
    </w:pPr>
  </w:style>
  <w:style w:type="paragraph" w:styleId="Bibliography">
    <w:name w:val="Bibliography"/>
    <w:basedOn w:val="Normal"/>
    <w:next w:val="Normal"/>
    <w:uiPriority w:val="37"/>
    <w:unhideWhenUsed/>
    <w:locked/>
    <w:rsid w:val="00BC76B6"/>
  </w:style>
  <w:style w:type="character" w:customStyle="1" w:styleId="hps">
    <w:name w:val="hps"/>
    <w:basedOn w:val="DefaultParagraphFont"/>
    <w:rsid w:val="000E0600"/>
  </w:style>
  <w:style w:type="paragraph" w:styleId="DocumentMap">
    <w:name w:val="Document Map"/>
    <w:basedOn w:val="Normal"/>
    <w:link w:val="DocumentMapChar"/>
    <w:uiPriority w:val="99"/>
    <w:semiHidden/>
    <w:unhideWhenUsed/>
    <w:locked/>
    <w:rsid w:val="00FF0704"/>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F0704"/>
    <w:rPr>
      <w:rFonts w:ascii="Tahoma" w:eastAsia="Times New Roman" w:hAnsi="Tahoma" w:cs="Tahoma"/>
      <w:color w:val="000000" w:themeColor="text1"/>
      <w:spacing w:val="4"/>
      <w:sz w:val="16"/>
      <w:szCs w:val="16"/>
      <w:lang w:val="en-GB"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53790">
      <w:bodyDiv w:val="1"/>
      <w:marLeft w:val="0"/>
      <w:marRight w:val="0"/>
      <w:marTop w:val="0"/>
      <w:marBottom w:val="0"/>
      <w:divBdr>
        <w:top w:val="none" w:sz="0" w:space="0" w:color="auto"/>
        <w:left w:val="none" w:sz="0" w:space="0" w:color="auto"/>
        <w:bottom w:val="none" w:sz="0" w:space="0" w:color="auto"/>
        <w:right w:val="none" w:sz="0" w:space="0" w:color="auto"/>
      </w:divBdr>
      <w:divsChild>
        <w:div w:id="181013656">
          <w:marLeft w:val="1080"/>
          <w:marRight w:val="0"/>
          <w:marTop w:val="100"/>
          <w:marBottom w:val="0"/>
          <w:divBdr>
            <w:top w:val="none" w:sz="0" w:space="0" w:color="auto"/>
            <w:left w:val="none" w:sz="0" w:space="0" w:color="auto"/>
            <w:bottom w:val="none" w:sz="0" w:space="0" w:color="auto"/>
            <w:right w:val="none" w:sz="0" w:space="0" w:color="auto"/>
          </w:divBdr>
        </w:div>
        <w:div w:id="1603680285">
          <w:marLeft w:val="1800"/>
          <w:marRight w:val="0"/>
          <w:marTop w:val="100"/>
          <w:marBottom w:val="0"/>
          <w:divBdr>
            <w:top w:val="none" w:sz="0" w:space="0" w:color="auto"/>
            <w:left w:val="none" w:sz="0" w:space="0" w:color="auto"/>
            <w:bottom w:val="none" w:sz="0" w:space="0" w:color="auto"/>
            <w:right w:val="none" w:sz="0" w:space="0" w:color="auto"/>
          </w:divBdr>
        </w:div>
        <w:div w:id="862282970">
          <w:marLeft w:val="1800"/>
          <w:marRight w:val="0"/>
          <w:marTop w:val="100"/>
          <w:marBottom w:val="0"/>
          <w:divBdr>
            <w:top w:val="none" w:sz="0" w:space="0" w:color="auto"/>
            <w:left w:val="none" w:sz="0" w:space="0" w:color="auto"/>
            <w:bottom w:val="none" w:sz="0" w:space="0" w:color="auto"/>
            <w:right w:val="none" w:sz="0" w:space="0" w:color="auto"/>
          </w:divBdr>
        </w:div>
        <w:div w:id="615218694">
          <w:marLeft w:val="1080"/>
          <w:marRight w:val="0"/>
          <w:marTop w:val="100"/>
          <w:marBottom w:val="0"/>
          <w:divBdr>
            <w:top w:val="none" w:sz="0" w:space="0" w:color="auto"/>
            <w:left w:val="none" w:sz="0" w:space="0" w:color="auto"/>
            <w:bottom w:val="none" w:sz="0" w:space="0" w:color="auto"/>
            <w:right w:val="none" w:sz="0" w:space="0" w:color="auto"/>
          </w:divBdr>
        </w:div>
        <w:div w:id="1193693367">
          <w:marLeft w:val="1800"/>
          <w:marRight w:val="0"/>
          <w:marTop w:val="100"/>
          <w:marBottom w:val="0"/>
          <w:divBdr>
            <w:top w:val="none" w:sz="0" w:space="0" w:color="auto"/>
            <w:left w:val="none" w:sz="0" w:space="0" w:color="auto"/>
            <w:bottom w:val="none" w:sz="0" w:space="0" w:color="auto"/>
            <w:right w:val="none" w:sz="0" w:space="0" w:color="auto"/>
          </w:divBdr>
        </w:div>
        <w:div w:id="2054381257">
          <w:marLeft w:val="1800"/>
          <w:marRight w:val="0"/>
          <w:marTop w:val="100"/>
          <w:marBottom w:val="0"/>
          <w:divBdr>
            <w:top w:val="none" w:sz="0" w:space="0" w:color="auto"/>
            <w:left w:val="none" w:sz="0" w:space="0" w:color="auto"/>
            <w:bottom w:val="none" w:sz="0" w:space="0" w:color="auto"/>
            <w:right w:val="none" w:sz="0" w:space="0" w:color="auto"/>
          </w:divBdr>
        </w:div>
        <w:div w:id="1340695767">
          <w:marLeft w:val="1800"/>
          <w:marRight w:val="0"/>
          <w:marTop w:val="100"/>
          <w:marBottom w:val="0"/>
          <w:divBdr>
            <w:top w:val="none" w:sz="0" w:space="0" w:color="auto"/>
            <w:left w:val="none" w:sz="0" w:space="0" w:color="auto"/>
            <w:bottom w:val="none" w:sz="0" w:space="0" w:color="auto"/>
            <w:right w:val="none" w:sz="0" w:space="0" w:color="auto"/>
          </w:divBdr>
        </w:div>
        <w:div w:id="1125541175">
          <w:marLeft w:val="1080"/>
          <w:marRight w:val="0"/>
          <w:marTop w:val="100"/>
          <w:marBottom w:val="0"/>
          <w:divBdr>
            <w:top w:val="none" w:sz="0" w:space="0" w:color="auto"/>
            <w:left w:val="none" w:sz="0" w:space="0" w:color="auto"/>
            <w:bottom w:val="none" w:sz="0" w:space="0" w:color="auto"/>
            <w:right w:val="none" w:sz="0" w:space="0" w:color="auto"/>
          </w:divBdr>
        </w:div>
        <w:div w:id="45031959">
          <w:marLeft w:val="1080"/>
          <w:marRight w:val="0"/>
          <w:marTop w:val="100"/>
          <w:marBottom w:val="0"/>
          <w:divBdr>
            <w:top w:val="none" w:sz="0" w:space="0" w:color="auto"/>
            <w:left w:val="none" w:sz="0" w:space="0" w:color="auto"/>
            <w:bottom w:val="none" w:sz="0" w:space="0" w:color="auto"/>
            <w:right w:val="none" w:sz="0" w:space="0" w:color="auto"/>
          </w:divBdr>
        </w:div>
        <w:div w:id="1218591267">
          <w:marLeft w:val="1800"/>
          <w:marRight w:val="0"/>
          <w:marTop w:val="100"/>
          <w:marBottom w:val="0"/>
          <w:divBdr>
            <w:top w:val="none" w:sz="0" w:space="0" w:color="auto"/>
            <w:left w:val="none" w:sz="0" w:space="0" w:color="auto"/>
            <w:bottom w:val="none" w:sz="0" w:space="0" w:color="auto"/>
            <w:right w:val="none" w:sz="0" w:space="0" w:color="auto"/>
          </w:divBdr>
        </w:div>
        <w:div w:id="1477451465">
          <w:marLeft w:val="1800"/>
          <w:marRight w:val="0"/>
          <w:marTop w:val="100"/>
          <w:marBottom w:val="0"/>
          <w:divBdr>
            <w:top w:val="none" w:sz="0" w:space="0" w:color="auto"/>
            <w:left w:val="none" w:sz="0" w:space="0" w:color="auto"/>
            <w:bottom w:val="none" w:sz="0" w:space="0" w:color="auto"/>
            <w:right w:val="none" w:sz="0" w:space="0" w:color="auto"/>
          </w:divBdr>
        </w:div>
      </w:divsChild>
    </w:div>
    <w:div w:id="64644497">
      <w:bodyDiv w:val="1"/>
      <w:marLeft w:val="0"/>
      <w:marRight w:val="0"/>
      <w:marTop w:val="0"/>
      <w:marBottom w:val="0"/>
      <w:divBdr>
        <w:top w:val="none" w:sz="0" w:space="0" w:color="auto"/>
        <w:left w:val="none" w:sz="0" w:space="0" w:color="auto"/>
        <w:bottom w:val="none" w:sz="0" w:space="0" w:color="auto"/>
        <w:right w:val="none" w:sz="0" w:space="0" w:color="auto"/>
      </w:divBdr>
    </w:div>
    <w:div w:id="68041404">
      <w:bodyDiv w:val="1"/>
      <w:marLeft w:val="0"/>
      <w:marRight w:val="0"/>
      <w:marTop w:val="0"/>
      <w:marBottom w:val="0"/>
      <w:divBdr>
        <w:top w:val="none" w:sz="0" w:space="0" w:color="auto"/>
        <w:left w:val="none" w:sz="0" w:space="0" w:color="auto"/>
        <w:bottom w:val="none" w:sz="0" w:space="0" w:color="auto"/>
        <w:right w:val="none" w:sz="0" w:space="0" w:color="auto"/>
      </w:divBdr>
    </w:div>
    <w:div w:id="73206406">
      <w:bodyDiv w:val="1"/>
      <w:marLeft w:val="0"/>
      <w:marRight w:val="0"/>
      <w:marTop w:val="0"/>
      <w:marBottom w:val="0"/>
      <w:divBdr>
        <w:top w:val="none" w:sz="0" w:space="0" w:color="auto"/>
        <w:left w:val="none" w:sz="0" w:space="0" w:color="auto"/>
        <w:bottom w:val="none" w:sz="0" w:space="0" w:color="auto"/>
        <w:right w:val="none" w:sz="0" w:space="0" w:color="auto"/>
      </w:divBdr>
    </w:div>
    <w:div w:id="103811901">
      <w:bodyDiv w:val="1"/>
      <w:marLeft w:val="0"/>
      <w:marRight w:val="0"/>
      <w:marTop w:val="0"/>
      <w:marBottom w:val="0"/>
      <w:divBdr>
        <w:top w:val="none" w:sz="0" w:space="0" w:color="auto"/>
        <w:left w:val="none" w:sz="0" w:space="0" w:color="auto"/>
        <w:bottom w:val="none" w:sz="0" w:space="0" w:color="auto"/>
        <w:right w:val="none" w:sz="0" w:space="0" w:color="auto"/>
      </w:divBdr>
    </w:div>
    <w:div w:id="124011614">
      <w:bodyDiv w:val="1"/>
      <w:marLeft w:val="0"/>
      <w:marRight w:val="0"/>
      <w:marTop w:val="0"/>
      <w:marBottom w:val="0"/>
      <w:divBdr>
        <w:top w:val="none" w:sz="0" w:space="0" w:color="auto"/>
        <w:left w:val="none" w:sz="0" w:space="0" w:color="auto"/>
        <w:bottom w:val="none" w:sz="0" w:space="0" w:color="auto"/>
        <w:right w:val="none" w:sz="0" w:space="0" w:color="auto"/>
      </w:divBdr>
    </w:div>
    <w:div w:id="127555803">
      <w:bodyDiv w:val="1"/>
      <w:marLeft w:val="0"/>
      <w:marRight w:val="0"/>
      <w:marTop w:val="0"/>
      <w:marBottom w:val="0"/>
      <w:divBdr>
        <w:top w:val="none" w:sz="0" w:space="0" w:color="auto"/>
        <w:left w:val="none" w:sz="0" w:space="0" w:color="auto"/>
        <w:bottom w:val="none" w:sz="0" w:space="0" w:color="auto"/>
        <w:right w:val="none" w:sz="0" w:space="0" w:color="auto"/>
      </w:divBdr>
      <w:divsChild>
        <w:div w:id="1010640278">
          <w:marLeft w:val="0"/>
          <w:marRight w:val="0"/>
          <w:marTop w:val="0"/>
          <w:marBottom w:val="0"/>
          <w:divBdr>
            <w:top w:val="none" w:sz="0" w:space="0" w:color="auto"/>
            <w:left w:val="none" w:sz="0" w:space="0" w:color="auto"/>
            <w:bottom w:val="none" w:sz="0" w:space="0" w:color="auto"/>
            <w:right w:val="none" w:sz="0" w:space="0" w:color="auto"/>
          </w:divBdr>
        </w:div>
        <w:div w:id="17630522">
          <w:marLeft w:val="0"/>
          <w:marRight w:val="0"/>
          <w:marTop w:val="0"/>
          <w:marBottom w:val="0"/>
          <w:divBdr>
            <w:top w:val="none" w:sz="0" w:space="0" w:color="auto"/>
            <w:left w:val="none" w:sz="0" w:space="0" w:color="auto"/>
            <w:bottom w:val="none" w:sz="0" w:space="0" w:color="auto"/>
            <w:right w:val="none" w:sz="0" w:space="0" w:color="auto"/>
          </w:divBdr>
        </w:div>
        <w:div w:id="197161272">
          <w:marLeft w:val="0"/>
          <w:marRight w:val="0"/>
          <w:marTop w:val="0"/>
          <w:marBottom w:val="0"/>
          <w:divBdr>
            <w:top w:val="none" w:sz="0" w:space="0" w:color="auto"/>
            <w:left w:val="none" w:sz="0" w:space="0" w:color="auto"/>
            <w:bottom w:val="none" w:sz="0" w:space="0" w:color="auto"/>
            <w:right w:val="none" w:sz="0" w:space="0" w:color="auto"/>
          </w:divBdr>
        </w:div>
        <w:div w:id="529880433">
          <w:marLeft w:val="0"/>
          <w:marRight w:val="0"/>
          <w:marTop w:val="0"/>
          <w:marBottom w:val="0"/>
          <w:divBdr>
            <w:top w:val="none" w:sz="0" w:space="0" w:color="auto"/>
            <w:left w:val="none" w:sz="0" w:space="0" w:color="auto"/>
            <w:bottom w:val="none" w:sz="0" w:space="0" w:color="auto"/>
            <w:right w:val="none" w:sz="0" w:space="0" w:color="auto"/>
          </w:divBdr>
        </w:div>
        <w:div w:id="2018191433">
          <w:marLeft w:val="0"/>
          <w:marRight w:val="0"/>
          <w:marTop w:val="0"/>
          <w:marBottom w:val="0"/>
          <w:divBdr>
            <w:top w:val="none" w:sz="0" w:space="0" w:color="auto"/>
            <w:left w:val="none" w:sz="0" w:space="0" w:color="auto"/>
            <w:bottom w:val="none" w:sz="0" w:space="0" w:color="auto"/>
            <w:right w:val="none" w:sz="0" w:space="0" w:color="auto"/>
          </w:divBdr>
        </w:div>
        <w:div w:id="349377876">
          <w:marLeft w:val="0"/>
          <w:marRight w:val="0"/>
          <w:marTop w:val="0"/>
          <w:marBottom w:val="0"/>
          <w:divBdr>
            <w:top w:val="none" w:sz="0" w:space="0" w:color="auto"/>
            <w:left w:val="none" w:sz="0" w:space="0" w:color="auto"/>
            <w:bottom w:val="none" w:sz="0" w:space="0" w:color="auto"/>
            <w:right w:val="none" w:sz="0" w:space="0" w:color="auto"/>
          </w:divBdr>
        </w:div>
        <w:div w:id="1227838706">
          <w:marLeft w:val="0"/>
          <w:marRight w:val="0"/>
          <w:marTop w:val="0"/>
          <w:marBottom w:val="0"/>
          <w:divBdr>
            <w:top w:val="none" w:sz="0" w:space="0" w:color="auto"/>
            <w:left w:val="none" w:sz="0" w:space="0" w:color="auto"/>
            <w:bottom w:val="none" w:sz="0" w:space="0" w:color="auto"/>
            <w:right w:val="none" w:sz="0" w:space="0" w:color="auto"/>
          </w:divBdr>
        </w:div>
        <w:div w:id="2028409832">
          <w:marLeft w:val="0"/>
          <w:marRight w:val="0"/>
          <w:marTop w:val="0"/>
          <w:marBottom w:val="0"/>
          <w:divBdr>
            <w:top w:val="none" w:sz="0" w:space="0" w:color="auto"/>
            <w:left w:val="none" w:sz="0" w:space="0" w:color="auto"/>
            <w:bottom w:val="none" w:sz="0" w:space="0" w:color="auto"/>
            <w:right w:val="none" w:sz="0" w:space="0" w:color="auto"/>
          </w:divBdr>
        </w:div>
        <w:div w:id="640425707">
          <w:marLeft w:val="0"/>
          <w:marRight w:val="0"/>
          <w:marTop w:val="0"/>
          <w:marBottom w:val="0"/>
          <w:divBdr>
            <w:top w:val="none" w:sz="0" w:space="0" w:color="auto"/>
            <w:left w:val="none" w:sz="0" w:space="0" w:color="auto"/>
            <w:bottom w:val="none" w:sz="0" w:space="0" w:color="auto"/>
            <w:right w:val="none" w:sz="0" w:space="0" w:color="auto"/>
          </w:divBdr>
        </w:div>
        <w:div w:id="874391268">
          <w:marLeft w:val="0"/>
          <w:marRight w:val="0"/>
          <w:marTop w:val="0"/>
          <w:marBottom w:val="0"/>
          <w:divBdr>
            <w:top w:val="none" w:sz="0" w:space="0" w:color="auto"/>
            <w:left w:val="none" w:sz="0" w:space="0" w:color="auto"/>
            <w:bottom w:val="none" w:sz="0" w:space="0" w:color="auto"/>
            <w:right w:val="none" w:sz="0" w:space="0" w:color="auto"/>
          </w:divBdr>
        </w:div>
        <w:div w:id="377121173">
          <w:marLeft w:val="0"/>
          <w:marRight w:val="0"/>
          <w:marTop w:val="0"/>
          <w:marBottom w:val="0"/>
          <w:divBdr>
            <w:top w:val="none" w:sz="0" w:space="0" w:color="auto"/>
            <w:left w:val="none" w:sz="0" w:space="0" w:color="auto"/>
            <w:bottom w:val="none" w:sz="0" w:space="0" w:color="auto"/>
            <w:right w:val="none" w:sz="0" w:space="0" w:color="auto"/>
          </w:divBdr>
        </w:div>
        <w:div w:id="632365567">
          <w:marLeft w:val="0"/>
          <w:marRight w:val="0"/>
          <w:marTop w:val="0"/>
          <w:marBottom w:val="0"/>
          <w:divBdr>
            <w:top w:val="none" w:sz="0" w:space="0" w:color="auto"/>
            <w:left w:val="none" w:sz="0" w:space="0" w:color="auto"/>
            <w:bottom w:val="none" w:sz="0" w:space="0" w:color="auto"/>
            <w:right w:val="none" w:sz="0" w:space="0" w:color="auto"/>
          </w:divBdr>
        </w:div>
        <w:div w:id="1334262899">
          <w:marLeft w:val="0"/>
          <w:marRight w:val="0"/>
          <w:marTop w:val="0"/>
          <w:marBottom w:val="0"/>
          <w:divBdr>
            <w:top w:val="none" w:sz="0" w:space="0" w:color="auto"/>
            <w:left w:val="none" w:sz="0" w:space="0" w:color="auto"/>
            <w:bottom w:val="none" w:sz="0" w:space="0" w:color="auto"/>
            <w:right w:val="none" w:sz="0" w:space="0" w:color="auto"/>
          </w:divBdr>
        </w:div>
        <w:div w:id="399865696">
          <w:marLeft w:val="0"/>
          <w:marRight w:val="0"/>
          <w:marTop w:val="0"/>
          <w:marBottom w:val="0"/>
          <w:divBdr>
            <w:top w:val="none" w:sz="0" w:space="0" w:color="auto"/>
            <w:left w:val="none" w:sz="0" w:space="0" w:color="auto"/>
            <w:bottom w:val="none" w:sz="0" w:space="0" w:color="auto"/>
            <w:right w:val="none" w:sz="0" w:space="0" w:color="auto"/>
          </w:divBdr>
        </w:div>
        <w:div w:id="1310475643">
          <w:marLeft w:val="0"/>
          <w:marRight w:val="0"/>
          <w:marTop w:val="0"/>
          <w:marBottom w:val="0"/>
          <w:divBdr>
            <w:top w:val="none" w:sz="0" w:space="0" w:color="auto"/>
            <w:left w:val="none" w:sz="0" w:space="0" w:color="auto"/>
            <w:bottom w:val="none" w:sz="0" w:space="0" w:color="auto"/>
            <w:right w:val="none" w:sz="0" w:space="0" w:color="auto"/>
          </w:divBdr>
        </w:div>
        <w:div w:id="448016894">
          <w:marLeft w:val="0"/>
          <w:marRight w:val="0"/>
          <w:marTop w:val="0"/>
          <w:marBottom w:val="0"/>
          <w:divBdr>
            <w:top w:val="none" w:sz="0" w:space="0" w:color="auto"/>
            <w:left w:val="none" w:sz="0" w:space="0" w:color="auto"/>
            <w:bottom w:val="none" w:sz="0" w:space="0" w:color="auto"/>
            <w:right w:val="none" w:sz="0" w:space="0" w:color="auto"/>
          </w:divBdr>
        </w:div>
        <w:div w:id="1752507229">
          <w:marLeft w:val="0"/>
          <w:marRight w:val="0"/>
          <w:marTop w:val="0"/>
          <w:marBottom w:val="0"/>
          <w:divBdr>
            <w:top w:val="none" w:sz="0" w:space="0" w:color="auto"/>
            <w:left w:val="none" w:sz="0" w:space="0" w:color="auto"/>
            <w:bottom w:val="none" w:sz="0" w:space="0" w:color="auto"/>
            <w:right w:val="none" w:sz="0" w:space="0" w:color="auto"/>
          </w:divBdr>
        </w:div>
        <w:div w:id="1085153998">
          <w:marLeft w:val="0"/>
          <w:marRight w:val="0"/>
          <w:marTop w:val="0"/>
          <w:marBottom w:val="0"/>
          <w:divBdr>
            <w:top w:val="none" w:sz="0" w:space="0" w:color="auto"/>
            <w:left w:val="none" w:sz="0" w:space="0" w:color="auto"/>
            <w:bottom w:val="none" w:sz="0" w:space="0" w:color="auto"/>
            <w:right w:val="none" w:sz="0" w:space="0" w:color="auto"/>
          </w:divBdr>
        </w:div>
        <w:div w:id="1258370585">
          <w:marLeft w:val="0"/>
          <w:marRight w:val="0"/>
          <w:marTop w:val="0"/>
          <w:marBottom w:val="0"/>
          <w:divBdr>
            <w:top w:val="none" w:sz="0" w:space="0" w:color="auto"/>
            <w:left w:val="none" w:sz="0" w:space="0" w:color="auto"/>
            <w:bottom w:val="none" w:sz="0" w:space="0" w:color="auto"/>
            <w:right w:val="none" w:sz="0" w:space="0" w:color="auto"/>
          </w:divBdr>
        </w:div>
        <w:div w:id="1684630106">
          <w:marLeft w:val="0"/>
          <w:marRight w:val="0"/>
          <w:marTop w:val="0"/>
          <w:marBottom w:val="0"/>
          <w:divBdr>
            <w:top w:val="none" w:sz="0" w:space="0" w:color="auto"/>
            <w:left w:val="none" w:sz="0" w:space="0" w:color="auto"/>
            <w:bottom w:val="none" w:sz="0" w:space="0" w:color="auto"/>
            <w:right w:val="none" w:sz="0" w:space="0" w:color="auto"/>
          </w:divBdr>
        </w:div>
        <w:div w:id="719405775">
          <w:marLeft w:val="0"/>
          <w:marRight w:val="0"/>
          <w:marTop w:val="0"/>
          <w:marBottom w:val="0"/>
          <w:divBdr>
            <w:top w:val="none" w:sz="0" w:space="0" w:color="auto"/>
            <w:left w:val="none" w:sz="0" w:space="0" w:color="auto"/>
            <w:bottom w:val="none" w:sz="0" w:space="0" w:color="auto"/>
            <w:right w:val="none" w:sz="0" w:space="0" w:color="auto"/>
          </w:divBdr>
        </w:div>
        <w:div w:id="570383031">
          <w:marLeft w:val="0"/>
          <w:marRight w:val="0"/>
          <w:marTop w:val="0"/>
          <w:marBottom w:val="0"/>
          <w:divBdr>
            <w:top w:val="none" w:sz="0" w:space="0" w:color="auto"/>
            <w:left w:val="none" w:sz="0" w:space="0" w:color="auto"/>
            <w:bottom w:val="none" w:sz="0" w:space="0" w:color="auto"/>
            <w:right w:val="none" w:sz="0" w:space="0" w:color="auto"/>
          </w:divBdr>
        </w:div>
        <w:div w:id="996108963">
          <w:marLeft w:val="0"/>
          <w:marRight w:val="0"/>
          <w:marTop w:val="0"/>
          <w:marBottom w:val="0"/>
          <w:divBdr>
            <w:top w:val="none" w:sz="0" w:space="0" w:color="auto"/>
            <w:left w:val="none" w:sz="0" w:space="0" w:color="auto"/>
            <w:bottom w:val="none" w:sz="0" w:space="0" w:color="auto"/>
            <w:right w:val="none" w:sz="0" w:space="0" w:color="auto"/>
          </w:divBdr>
        </w:div>
        <w:div w:id="443158271">
          <w:marLeft w:val="0"/>
          <w:marRight w:val="0"/>
          <w:marTop w:val="0"/>
          <w:marBottom w:val="0"/>
          <w:divBdr>
            <w:top w:val="none" w:sz="0" w:space="0" w:color="auto"/>
            <w:left w:val="none" w:sz="0" w:space="0" w:color="auto"/>
            <w:bottom w:val="none" w:sz="0" w:space="0" w:color="auto"/>
            <w:right w:val="none" w:sz="0" w:space="0" w:color="auto"/>
          </w:divBdr>
        </w:div>
        <w:div w:id="1777402390">
          <w:marLeft w:val="0"/>
          <w:marRight w:val="0"/>
          <w:marTop w:val="0"/>
          <w:marBottom w:val="0"/>
          <w:divBdr>
            <w:top w:val="none" w:sz="0" w:space="0" w:color="auto"/>
            <w:left w:val="none" w:sz="0" w:space="0" w:color="auto"/>
            <w:bottom w:val="none" w:sz="0" w:space="0" w:color="auto"/>
            <w:right w:val="none" w:sz="0" w:space="0" w:color="auto"/>
          </w:divBdr>
        </w:div>
        <w:div w:id="520319992">
          <w:marLeft w:val="0"/>
          <w:marRight w:val="0"/>
          <w:marTop w:val="0"/>
          <w:marBottom w:val="0"/>
          <w:divBdr>
            <w:top w:val="none" w:sz="0" w:space="0" w:color="auto"/>
            <w:left w:val="none" w:sz="0" w:space="0" w:color="auto"/>
            <w:bottom w:val="none" w:sz="0" w:space="0" w:color="auto"/>
            <w:right w:val="none" w:sz="0" w:space="0" w:color="auto"/>
          </w:divBdr>
        </w:div>
        <w:div w:id="325085901">
          <w:marLeft w:val="0"/>
          <w:marRight w:val="0"/>
          <w:marTop w:val="0"/>
          <w:marBottom w:val="0"/>
          <w:divBdr>
            <w:top w:val="none" w:sz="0" w:space="0" w:color="auto"/>
            <w:left w:val="none" w:sz="0" w:space="0" w:color="auto"/>
            <w:bottom w:val="none" w:sz="0" w:space="0" w:color="auto"/>
            <w:right w:val="none" w:sz="0" w:space="0" w:color="auto"/>
          </w:divBdr>
        </w:div>
        <w:div w:id="1776825895">
          <w:marLeft w:val="0"/>
          <w:marRight w:val="0"/>
          <w:marTop w:val="0"/>
          <w:marBottom w:val="0"/>
          <w:divBdr>
            <w:top w:val="none" w:sz="0" w:space="0" w:color="auto"/>
            <w:left w:val="none" w:sz="0" w:space="0" w:color="auto"/>
            <w:bottom w:val="none" w:sz="0" w:space="0" w:color="auto"/>
            <w:right w:val="none" w:sz="0" w:space="0" w:color="auto"/>
          </w:divBdr>
        </w:div>
        <w:div w:id="451945505">
          <w:marLeft w:val="0"/>
          <w:marRight w:val="0"/>
          <w:marTop w:val="0"/>
          <w:marBottom w:val="0"/>
          <w:divBdr>
            <w:top w:val="none" w:sz="0" w:space="0" w:color="auto"/>
            <w:left w:val="none" w:sz="0" w:space="0" w:color="auto"/>
            <w:bottom w:val="none" w:sz="0" w:space="0" w:color="auto"/>
            <w:right w:val="none" w:sz="0" w:space="0" w:color="auto"/>
          </w:divBdr>
        </w:div>
        <w:div w:id="249772906">
          <w:marLeft w:val="0"/>
          <w:marRight w:val="0"/>
          <w:marTop w:val="0"/>
          <w:marBottom w:val="0"/>
          <w:divBdr>
            <w:top w:val="none" w:sz="0" w:space="0" w:color="auto"/>
            <w:left w:val="none" w:sz="0" w:space="0" w:color="auto"/>
            <w:bottom w:val="none" w:sz="0" w:space="0" w:color="auto"/>
            <w:right w:val="none" w:sz="0" w:space="0" w:color="auto"/>
          </w:divBdr>
        </w:div>
        <w:div w:id="2093307900">
          <w:marLeft w:val="0"/>
          <w:marRight w:val="0"/>
          <w:marTop w:val="0"/>
          <w:marBottom w:val="0"/>
          <w:divBdr>
            <w:top w:val="none" w:sz="0" w:space="0" w:color="auto"/>
            <w:left w:val="none" w:sz="0" w:space="0" w:color="auto"/>
            <w:bottom w:val="none" w:sz="0" w:space="0" w:color="auto"/>
            <w:right w:val="none" w:sz="0" w:space="0" w:color="auto"/>
          </w:divBdr>
        </w:div>
        <w:div w:id="1979677187">
          <w:marLeft w:val="0"/>
          <w:marRight w:val="0"/>
          <w:marTop w:val="0"/>
          <w:marBottom w:val="0"/>
          <w:divBdr>
            <w:top w:val="none" w:sz="0" w:space="0" w:color="auto"/>
            <w:left w:val="none" w:sz="0" w:space="0" w:color="auto"/>
            <w:bottom w:val="none" w:sz="0" w:space="0" w:color="auto"/>
            <w:right w:val="none" w:sz="0" w:space="0" w:color="auto"/>
          </w:divBdr>
        </w:div>
        <w:div w:id="1588035512">
          <w:marLeft w:val="0"/>
          <w:marRight w:val="0"/>
          <w:marTop w:val="0"/>
          <w:marBottom w:val="0"/>
          <w:divBdr>
            <w:top w:val="none" w:sz="0" w:space="0" w:color="auto"/>
            <w:left w:val="none" w:sz="0" w:space="0" w:color="auto"/>
            <w:bottom w:val="none" w:sz="0" w:space="0" w:color="auto"/>
            <w:right w:val="none" w:sz="0" w:space="0" w:color="auto"/>
          </w:divBdr>
        </w:div>
        <w:div w:id="1484470154">
          <w:marLeft w:val="0"/>
          <w:marRight w:val="0"/>
          <w:marTop w:val="0"/>
          <w:marBottom w:val="0"/>
          <w:divBdr>
            <w:top w:val="none" w:sz="0" w:space="0" w:color="auto"/>
            <w:left w:val="none" w:sz="0" w:space="0" w:color="auto"/>
            <w:bottom w:val="none" w:sz="0" w:space="0" w:color="auto"/>
            <w:right w:val="none" w:sz="0" w:space="0" w:color="auto"/>
          </w:divBdr>
        </w:div>
        <w:div w:id="1101954984">
          <w:marLeft w:val="0"/>
          <w:marRight w:val="0"/>
          <w:marTop w:val="0"/>
          <w:marBottom w:val="0"/>
          <w:divBdr>
            <w:top w:val="none" w:sz="0" w:space="0" w:color="auto"/>
            <w:left w:val="none" w:sz="0" w:space="0" w:color="auto"/>
            <w:bottom w:val="none" w:sz="0" w:space="0" w:color="auto"/>
            <w:right w:val="none" w:sz="0" w:space="0" w:color="auto"/>
          </w:divBdr>
        </w:div>
      </w:divsChild>
    </w:div>
    <w:div w:id="144324167">
      <w:bodyDiv w:val="1"/>
      <w:marLeft w:val="0"/>
      <w:marRight w:val="0"/>
      <w:marTop w:val="0"/>
      <w:marBottom w:val="0"/>
      <w:divBdr>
        <w:top w:val="none" w:sz="0" w:space="0" w:color="auto"/>
        <w:left w:val="none" w:sz="0" w:space="0" w:color="auto"/>
        <w:bottom w:val="none" w:sz="0" w:space="0" w:color="auto"/>
        <w:right w:val="none" w:sz="0" w:space="0" w:color="auto"/>
      </w:divBdr>
    </w:div>
    <w:div w:id="152333336">
      <w:bodyDiv w:val="1"/>
      <w:marLeft w:val="0"/>
      <w:marRight w:val="0"/>
      <w:marTop w:val="0"/>
      <w:marBottom w:val="0"/>
      <w:divBdr>
        <w:top w:val="none" w:sz="0" w:space="0" w:color="auto"/>
        <w:left w:val="none" w:sz="0" w:space="0" w:color="auto"/>
        <w:bottom w:val="none" w:sz="0" w:space="0" w:color="auto"/>
        <w:right w:val="none" w:sz="0" w:space="0" w:color="auto"/>
      </w:divBdr>
    </w:div>
    <w:div w:id="158623093">
      <w:bodyDiv w:val="1"/>
      <w:marLeft w:val="0"/>
      <w:marRight w:val="0"/>
      <w:marTop w:val="0"/>
      <w:marBottom w:val="0"/>
      <w:divBdr>
        <w:top w:val="none" w:sz="0" w:space="0" w:color="auto"/>
        <w:left w:val="none" w:sz="0" w:space="0" w:color="auto"/>
        <w:bottom w:val="none" w:sz="0" w:space="0" w:color="auto"/>
        <w:right w:val="none" w:sz="0" w:space="0" w:color="auto"/>
      </w:divBdr>
    </w:div>
    <w:div w:id="164788171">
      <w:bodyDiv w:val="1"/>
      <w:marLeft w:val="0"/>
      <w:marRight w:val="0"/>
      <w:marTop w:val="0"/>
      <w:marBottom w:val="0"/>
      <w:divBdr>
        <w:top w:val="none" w:sz="0" w:space="0" w:color="auto"/>
        <w:left w:val="none" w:sz="0" w:space="0" w:color="auto"/>
        <w:bottom w:val="none" w:sz="0" w:space="0" w:color="auto"/>
        <w:right w:val="none" w:sz="0" w:space="0" w:color="auto"/>
      </w:divBdr>
    </w:div>
    <w:div w:id="179315848">
      <w:bodyDiv w:val="1"/>
      <w:marLeft w:val="0"/>
      <w:marRight w:val="0"/>
      <w:marTop w:val="0"/>
      <w:marBottom w:val="0"/>
      <w:divBdr>
        <w:top w:val="none" w:sz="0" w:space="0" w:color="auto"/>
        <w:left w:val="none" w:sz="0" w:space="0" w:color="auto"/>
        <w:bottom w:val="none" w:sz="0" w:space="0" w:color="auto"/>
        <w:right w:val="none" w:sz="0" w:space="0" w:color="auto"/>
      </w:divBdr>
      <w:divsChild>
        <w:div w:id="1550261252">
          <w:marLeft w:val="360"/>
          <w:marRight w:val="0"/>
          <w:marTop w:val="200"/>
          <w:marBottom w:val="0"/>
          <w:divBdr>
            <w:top w:val="none" w:sz="0" w:space="0" w:color="auto"/>
            <w:left w:val="none" w:sz="0" w:space="0" w:color="auto"/>
            <w:bottom w:val="none" w:sz="0" w:space="0" w:color="auto"/>
            <w:right w:val="none" w:sz="0" w:space="0" w:color="auto"/>
          </w:divBdr>
        </w:div>
        <w:div w:id="932858492">
          <w:marLeft w:val="1080"/>
          <w:marRight w:val="0"/>
          <w:marTop w:val="100"/>
          <w:marBottom w:val="0"/>
          <w:divBdr>
            <w:top w:val="none" w:sz="0" w:space="0" w:color="auto"/>
            <w:left w:val="none" w:sz="0" w:space="0" w:color="auto"/>
            <w:bottom w:val="none" w:sz="0" w:space="0" w:color="auto"/>
            <w:right w:val="none" w:sz="0" w:space="0" w:color="auto"/>
          </w:divBdr>
        </w:div>
        <w:div w:id="2064329714">
          <w:marLeft w:val="1800"/>
          <w:marRight w:val="0"/>
          <w:marTop w:val="100"/>
          <w:marBottom w:val="0"/>
          <w:divBdr>
            <w:top w:val="none" w:sz="0" w:space="0" w:color="auto"/>
            <w:left w:val="none" w:sz="0" w:space="0" w:color="auto"/>
            <w:bottom w:val="none" w:sz="0" w:space="0" w:color="auto"/>
            <w:right w:val="none" w:sz="0" w:space="0" w:color="auto"/>
          </w:divBdr>
        </w:div>
        <w:div w:id="868836048">
          <w:marLeft w:val="1080"/>
          <w:marRight w:val="0"/>
          <w:marTop w:val="100"/>
          <w:marBottom w:val="0"/>
          <w:divBdr>
            <w:top w:val="none" w:sz="0" w:space="0" w:color="auto"/>
            <w:left w:val="none" w:sz="0" w:space="0" w:color="auto"/>
            <w:bottom w:val="none" w:sz="0" w:space="0" w:color="auto"/>
            <w:right w:val="none" w:sz="0" w:space="0" w:color="auto"/>
          </w:divBdr>
        </w:div>
        <w:div w:id="366688730">
          <w:marLeft w:val="1080"/>
          <w:marRight w:val="0"/>
          <w:marTop w:val="100"/>
          <w:marBottom w:val="0"/>
          <w:divBdr>
            <w:top w:val="none" w:sz="0" w:space="0" w:color="auto"/>
            <w:left w:val="none" w:sz="0" w:space="0" w:color="auto"/>
            <w:bottom w:val="none" w:sz="0" w:space="0" w:color="auto"/>
            <w:right w:val="none" w:sz="0" w:space="0" w:color="auto"/>
          </w:divBdr>
        </w:div>
        <w:div w:id="1773352080">
          <w:marLeft w:val="360"/>
          <w:marRight w:val="0"/>
          <w:marTop w:val="200"/>
          <w:marBottom w:val="0"/>
          <w:divBdr>
            <w:top w:val="none" w:sz="0" w:space="0" w:color="auto"/>
            <w:left w:val="none" w:sz="0" w:space="0" w:color="auto"/>
            <w:bottom w:val="none" w:sz="0" w:space="0" w:color="auto"/>
            <w:right w:val="none" w:sz="0" w:space="0" w:color="auto"/>
          </w:divBdr>
        </w:div>
        <w:div w:id="1571191224">
          <w:marLeft w:val="360"/>
          <w:marRight w:val="0"/>
          <w:marTop w:val="200"/>
          <w:marBottom w:val="0"/>
          <w:divBdr>
            <w:top w:val="none" w:sz="0" w:space="0" w:color="auto"/>
            <w:left w:val="none" w:sz="0" w:space="0" w:color="auto"/>
            <w:bottom w:val="none" w:sz="0" w:space="0" w:color="auto"/>
            <w:right w:val="none" w:sz="0" w:space="0" w:color="auto"/>
          </w:divBdr>
        </w:div>
        <w:div w:id="2050833366">
          <w:marLeft w:val="1080"/>
          <w:marRight w:val="0"/>
          <w:marTop w:val="100"/>
          <w:marBottom w:val="0"/>
          <w:divBdr>
            <w:top w:val="none" w:sz="0" w:space="0" w:color="auto"/>
            <w:left w:val="none" w:sz="0" w:space="0" w:color="auto"/>
            <w:bottom w:val="none" w:sz="0" w:space="0" w:color="auto"/>
            <w:right w:val="none" w:sz="0" w:space="0" w:color="auto"/>
          </w:divBdr>
        </w:div>
      </w:divsChild>
    </w:div>
    <w:div w:id="219637258">
      <w:bodyDiv w:val="1"/>
      <w:marLeft w:val="0"/>
      <w:marRight w:val="0"/>
      <w:marTop w:val="0"/>
      <w:marBottom w:val="0"/>
      <w:divBdr>
        <w:top w:val="none" w:sz="0" w:space="0" w:color="auto"/>
        <w:left w:val="none" w:sz="0" w:space="0" w:color="auto"/>
        <w:bottom w:val="none" w:sz="0" w:space="0" w:color="auto"/>
        <w:right w:val="none" w:sz="0" w:space="0" w:color="auto"/>
      </w:divBdr>
      <w:divsChild>
        <w:div w:id="346761033">
          <w:marLeft w:val="0"/>
          <w:marRight w:val="0"/>
          <w:marTop w:val="0"/>
          <w:marBottom w:val="0"/>
          <w:divBdr>
            <w:top w:val="none" w:sz="0" w:space="0" w:color="auto"/>
            <w:left w:val="none" w:sz="0" w:space="0" w:color="auto"/>
            <w:bottom w:val="none" w:sz="0" w:space="0" w:color="auto"/>
            <w:right w:val="none" w:sz="0" w:space="0" w:color="auto"/>
          </w:divBdr>
        </w:div>
        <w:div w:id="800535664">
          <w:marLeft w:val="0"/>
          <w:marRight w:val="0"/>
          <w:marTop w:val="0"/>
          <w:marBottom w:val="0"/>
          <w:divBdr>
            <w:top w:val="none" w:sz="0" w:space="0" w:color="auto"/>
            <w:left w:val="none" w:sz="0" w:space="0" w:color="auto"/>
            <w:bottom w:val="none" w:sz="0" w:space="0" w:color="auto"/>
            <w:right w:val="none" w:sz="0" w:space="0" w:color="auto"/>
          </w:divBdr>
        </w:div>
        <w:div w:id="1328439765">
          <w:marLeft w:val="0"/>
          <w:marRight w:val="0"/>
          <w:marTop w:val="0"/>
          <w:marBottom w:val="0"/>
          <w:divBdr>
            <w:top w:val="none" w:sz="0" w:space="0" w:color="auto"/>
            <w:left w:val="none" w:sz="0" w:space="0" w:color="auto"/>
            <w:bottom w:val="none" w:sz="0" w:space="0" w:color="auto"/>
            <w:right w:val="none" w:sz="0" w:space="0" w:color="auto"/>
          </w:divBdr>
        </w:div>
        <w:div w:id="1034116251">
          <w:marLeft w:val="0"/>
          <w:marRight w:val="0"/>
          <w:marTop w:val="0"/>
          <w:marBottom w:val="0"/>
          <w:divBdr>
            <w:top w:val="none" w:sz="0" w:space="0" w:color="auto"/>
            <w:left w:val="none" w:sz="0" w:space="0" w:color="auto"/>
            <w:bottom w:val="none" w:sz="0" w:space="0" w:color="auto"/>
            <w:right w:val="none" w:sz="0" w:space="0" w:color="auto"/>
          </w:divBdr>
        </w:div>
        <w:div w:id="1379012803">
          <w:marLeft w:val="0"/>
          <w:marRight w:val="0"/>
          <w:marTop w:val="0"/>
          <w:marBottom w:val="0"/>
          <w:divBdr>
            <w:top w:val="none" w:sz="0" w:space="0" w:color="auto"/>
            <w:left w:val="none" w:sz="0" w:space="0" w:color="auto"/>
            <w:bottom w:val="none" w:sz="0" w:space="0" w:color="auto"/>
            <w:right w:val="none" w:sz="0" w:space="0" w:color="auto"/>
          </w:divBdr>
        </w:div>
        <w:div w:id="215316308">
          <w:marLeft w:val="0"/>
          <w:marRight w:val="0"/>
          <w:marTop w:val="0"/>
          <w:marBottom w:val="0"/>
          <w:divBdr>
            <w:top w:val="none" w:sz="0" w:space="0" w:color="auto"/>
            <w:left w:val="none" w:sz="0" w:space="0" w:color="auto"/>
            <w:bottom w:val="none" w:sz="0" w:space="0" w:color="auto"/>
            <w:right w:val="none" w:sz="0" w:space="0" w:color="auto"/>
          </w:divBdr>
        </w:div>
      </w:divsChild>
    </w:div>
    <w:div w:id="223150650">
      <w:bodyDiv w:val="1"/>
      <w:marLeft w:val="0"/>
      <w:marRight w:val="0"/>
      <w:marTop w:val="0"/>
      <w:marBottom w:val="0"/>
      <w:divBdr>
        <w:top w:val="none" w:sz="0" w:space="0" w:color="auto"/>
        <w:left w:val="none" w:sz="0" w:space="0" w:color="auto"/>
        <w:bottom w:val="none" w:sz="0" w:space="0" w:color="auto"/>
        <w:right w:val="none" w:sz="0" w:space="0" w:color="auto"/>
      </w:divBdr>
      <w:divsChild>
        <w:div w:id="1086925335">
          <w:marLeft w:val="1080"/>
          <w:marRight w:val="0"/>
          <w:marTop w:val="100"/>
          <w:marBottom w:val="0"/>
          <w:divBdr>
            <w:top w:val="none" w:sz="0" w:space="0" w:color="auto"/>
            <w:left w:val="none" w:sz="0" w:space="0" w:color="auto"/>
            <w:bottom w:val="none" w:sz="0" w:space="0" w:color="auto"/>
            <w:right w:val="none" w:sz="0" w:space="0" w:color="auto"/>
          </w:divBdr>
        </w:div>
        <w:div w:id="1572085190">
          <w:marLeft w:val="1080"/>
          <w:marRight w:val="0"/>
          <w:marTop w:val="100"/>
          <w:marBottom w:val="0"/>
          <w:divBdr>
            <w:top w:val="none" w:sz="0" w:space="0" w:color="auto"/>
            <w:left w:val="none" w:sz="0" w:space="0" w:color="auto"/>
            <w:bottom w:val="none" w:sz="0" w:space="0" w:color="auto"/>
            <w:right w:val="none" w:sz="0" w:space="0" w:color="auto"/>
          </w:divBdr>
        </w:div>
        <w:div w:id="882403773">
          <w:marLeft w:val="1080"/>
          <w:marRight w:val="0"/>
          <w:marTop w:val="100"/>
          <w:marBottom w:val="0"/>
          <w:divBdr>
            <w:top w:val="none" w:sz="0" w:space="0" w:color="auto"/>
            <w:left w:val="none" w:sz="0" w:space="0" w:color="auto"/>
            <w:bottom w:val="none" w:sz="0" w:space="0" w:color="auto"/>
            <w:right w:val="none" w:sz="0" w:space="0" w:color="auto"/>
          </w:divBdr>
        </w:div>
      </w:divsChild>
    </w:div>
    <w:div w:id="266886999">
      <w:bodyDiv w:val="1"/>
      <w:marLeft w:val="0"/>
      <w:marRight w:val="0"/>
      <w:marTop w:val="0"/>
      <w:marBottom w:val="0"/>
      <w:divBdr>
        <w:top w:val="none" w:sz="0" w:space="0" w:color="auto"/>
        <w:left w:val="none" w:sz="0" w:space="0" w:color="auto"/>
        <w:bottom w:val="none" w:sz="0" w:space="0" w:color="auto"/>
        <w:right w:val="none" w:sz="0" w:space="0" w:color="auto"/>
      </w:divBdr>
    </w:div>
    <w:div w:id="286813757">
      <w:bodyDiv w:val="1"/>
      <w:marLeft w:val="0"/>
      <w:marRight w:val="0"/>
      <w:marTop w:val="0"/>
      <w:marBottom w:val="0"/>
      <w:divBdr>
        <w:top w:val="none" w:sz="0" w:space="0" w:color="auto"/>
        <w:left w:val="none" w:sz="0" w:space="0" w:color="auto"/>
        <w:bottom w:val="none" w:sz="0" w:space="0" w:color="auto"/>
        <w:right w:val="none" w:sz="0" w:space="0" w:color="auto"/>
      </w:divBdr>
    </w:div>
    <w:div w:id="293758614">
      <w:bodyDiv w:val="1"/>
      <w:marLeft w:val="0"/>
      <w:marRight w:val="0"/>
      <w:marTop w:val="0"/>
      <w:marBottom w:val="0"/>
      <w:divBdr>
        <w:top w:val="none" w:sz="0" w:space="0" w:color="auto"/>
        <w:left w:val="none" w:sz="0" w:space="0" w:color="auto"/>
        <w:bottom w:val="none" w:sz="0" w:space="0" w:color="auto"/>
        <w:right w:val="none" w:sz="0" w:space="0" w:color="auto"/>
      </w:divBdr>
    </w:div>
    <w:div w:id="302009492">
      <w:bodyDiv w:val="1"/>
      <w:marLeft w:val="0"/>
      <w:marRight w:val="0"/>
      <w:marTop w:val="0"/>
      <w:marBottom w:val="0"/>
      <w:divBdr>
        <w:top w:val="none" w:sz="0" w:space="0" w:color="auto"/>
        <w:left w:val="none" w:sz="0" w:space="0" w:color="auto"/>
        <w:bottom w:val="none" w:sz="0" w:space="0" w:color="auto"/>
        <w:right w:val="none" w:sz="0" w:space="0" w:color="auto"/>
      </w:divBdr>
      <w:divsChild>
        <w:div w:id="1095245518">
          <w:marLeft w:val="0"/>
          <w:marRight w:val="0"/>
          <w:marTop w:val="0"/>
          <w:marBottom w:val="0"/>
          <w:divBdr>
            <w:top w:val="none" w:sz="0" w:space="0" w:color="auto"/>
            <w:left w:val="none" w:sz="0" w:space="0" w:color="auto"/>
            <w:bottom w:val="none" w:sz="0" w:space="0" w:color="auto"/>
            <w:right w:val="none" w:sz="0" w:space="0" w:color="auto"/>
          </w:divBdr>
        </w:div>
        <w:div w:id="1545093675">
          <w:marLeft w:val="0"/>
          <w:marRight w:val="0"/>
          <w:marTop w:val="0"/>
          <w:marBottom w:val="0"/>
          <w:divBdr>
            <w:top w:val="none" w:sz="0" w:space="0" w:color="auto"/>
            <w:left w:val="none" w:sz="0" w:space="0" w:color="auto"/>
            <w:bottom w:val="none" w:sz="0" w:space="0" w:color="auto"/>
            <w:right w:val="none" w:sz="0" w:space="0" w:color="auto"/>
          </w:divBdr>
        </w:div>
        <w:div w:id="277108399">
          <w:marLeft w:val="0"/>
          <w:marRight w:val="0"/>
          <w:marTop w:val="0"/>
          <w:marBottom w:val="0"/>
          <w:divBdr>
            <w:top w:val="none" w:sz="0" w:space="0" w:color="auto"/>
            <w:left w:val="none" w:sz="0" w:space="0" w:color="auto"/>
            <w:bottom w:val="none" w:sz="0" w:space="0" w:color="auto"/>
            <w:right w:val="none" w:sz="0" w:space="0" w:color="auto"/>
          </w:divBdr>
        </w:div>
        <w:div w:id="633801185">
          <w:marLeft w:val="0"/>
          <w:marRight w:val="0"/>
          <w:marTop w:val="0"/>
          <w:marBottom w:val="0"/>
          <w:divBdr>
            <w:top w:val="none" w:sz="0" w:space="0" w:color="auto"/>
            <w:left w:val="none" w:sz="0" w:space="0" w:color="auto"/>
            <w:bottom w:val="none" w:sz="0" w:space="0" w:color="auto"/>
            <w:right w:val="none" w:sz="0" w:space="0" w:color="auto"/>
          </w:divBdr>
        </w:div>
      </w:divsChild>
    </w:div>
    <w:div w:id="310142435">
      <w:bodyDiv w:val="1"/>
      <w:marLeft w:val="0"/>
      <w:marRight w:val="0"/>
      <w:marTop w:val="0"/>
      <w:marBottom w:val="0"/>
      <w:divBdr>
        <w:top w:val="none" w:sz="0" w:space="0" w:color="auto"/>
        <w:left w:val="none" w:sz="0" w:space="0" w:color="auto"/>
        <w:bottom w:val="none" w:sz="0" w:space="0" w:color="auto"/>
        <w:right w:val="none" w:sz="0" w:space="0" w:color="auto"/>
      </w:divBdr>
    </w:div>
    <w:div w:id="347299430">
      <w:bodyDiv w:val="1"/>
      <w:marLeft w:val="0"/>
      <w:marRight w:val="0"/>
      <w:marTop w:val="0"/>
      <w:marBottom w:val="0"/>
      <w:divBdr>
        <w:top w:val="none" w:sz="0" w:space="0" w:color="auto"/>
        <w:left w:val="none" w:sz="0" w:space="0" w:color="auto"/>
        <w:bottom w:val="none" w:sz="0" w:space="0" w:color="auto"/>
        <w:right w:val="none" w:sz="0" w:space="0" w:color="auto"/>
      </w:divBdr>
    </w:div>
    <w:div w:id="387997024">
      <w:bodyDiv w:val="1"/>
      <w:marLeft w:val="0"/>
      <w:marRight w:val="0"/>
      <w:marTop w:val="0"/>
      <w:marBottom w:val="0"/>
      <w:divBdr>
        <w:top w:val="none" w:sz="0" w:space="0" w:color="auto"/>
        <w:left w:val="none" w:sz="0" w:space="0" w:color="auto"/>
        <w:bottom w:val="none" w:sz="0" w:space="0" w:color="auto"/>
        <w:right w:val="none" w:sz="0" w:space="0" w:color="auto"/>
      </w:divBdr>
      <w:divsChild>
        <w:div w:id="841359528">
          <w:marLeft w:val="360"/>
          <w:marRight w:val="0"/>
          <w:marTop w:val="200"/>
          <w:marBottom w:val="0"/>
          <w:divBdr>
            <w:top w:val="none" w:sz="0" w:space="0" w:color="auto"/>
            <w:left w:val="none" w:sz="0" w:space="0" w:color="auto"/>
            <w:bottom w:val="none" w:sz="0" w:space="0" w:color="auto"/>
            <w:right w:val="none" w:sz="0" w:space="0" w:color="auto"/>
          </w:divBdr>
        </w:div>
        <w:div w:id="266160639">
          <w:marLeft w:val="360"/>
          <w:marRight w:val="0"/>
          <w:marTop w:val="200"/>
          <w:marBottom w:val="0"/>
          <w:divBdr>
            <w:top w:val="none" w:sz="0" w:space="0" w:color="auto"/>
            <w:left w:val="none" w:sz="0" w:space="0" w:color="auto"/>
            <w:bottom w:val="none" w:sz="0" w:space="0" w:color="auto"/>
            <w:right w:val="none" w:sz="0" w:space="0" w:color="auto"/>
          </w:divBdr>
        </w:div>
        <w:div w:id="1782069674">
          <w:marLeft w:val="1080"/>
          <w:marRight w:val="0"/>
          <w:marTop w:val="100"/>
          <w:marBottom w:val="0"/>
          <w:divBdr>
            <w:top w:val="none" w:sz="0" w:space="0" w:color="auto"/>
            <w:left w:val="none" w:sz="0" w:space="0" w:color="auto"/>
            <w:bottom w:val="none" w:sz="0" w:space="0" w:color="auto"/>
            <w:right w:val="none" w:sz="0" w:space="0" w:color="auto"/>
          </w:divBdr>
        </w:div>
        <w:div w:id="2057242628">
          <w:marLeft w:val="1080"/>
          <w:marRight w:val="0"/>
          <w:marTop w:val="100"/>
          <w:marBottom w:val="0"/>
          <w:divBdr>
            <w:top w:val="none" w:sz="0" w:space="0" w:color="auto"/>
            <w:left w:val="none" w:sz="0" w:space="0" w:color="auto"/>
            <w:bottom w:val="none" w:sz="0" w:space="0" w:color="auto"/>
            <w:right w:val="none" w:sz="0" w:space="0" w:color="auto"/>
          </w:divBdr>
        </w:div>
        <w:div w:id="77212096">
          <w:marLeft w:val="1080"/>
          <w:marRight w:val="0"/>
          <w:marTop w:val="100"/>
          <w:marBottom w:val="0"/>
          <w:divBdr>
            <w:top w:val="none" w:sz="0" w:space="0" w:color="auto"/>
            <w:left w:val="none" w:sz="0" w:space="0" w:color="auto"/>
            <w:bottom w:val="none" w:sz="0" w:space="0" w:color="auto"/>
            <w:right w:val="none" w:sz="0" w:space="0" w:color="auto"/>
          </w:divBdr>
        </w:div>
        <w:div w:id="54209117">
          <w:marLeft w:val="1080"/>
          <w:marRight w:val="0"/>
          <w:marTop w:val="100"/>
          <w:marBottom w:val="0"/>
          <w:divBdr>
            <w:top w:val="none" w:sz="0" w:space="0" w:color="auto"/>
            <w:left w:val="none" w:sz="0" w:space="0" w:color="auto"/>
            <w:bottom w:val="none" w:sz="0" w:space="0" w:color="auto"/>
            <w:right w:val="none" w:sz="0" w:space="0" w:color="auto"/>
          </w:divBdr>
        </w:div>
        <w:div w:id="1204051368">
          <w:marLeft w:val="1800"/>
          <w:marRight w:val="0"/>
          <w:marTop w:val="100"/>
          <w:marBottom w:val="0"/>
          <w:divBdr>
            <w:top w:val="none" w:sz="0" w:space="0" w:color="auto"/>
            <w:left w:val="none" w:sz="0" w:space="0" w:color="auto"/>
            <w:bottom w:val="none" w:sz="0" w:space="0" w:color="auto"/>
            <w:right w:val="none" w:sz="0" w:space="0" w:color="auto"/>
          </w:divBdr>
        </w:div>
        <w:div w:id="925653262">
          <w:marLeft w:val="1800"/>
          <w:marRight w:val="0"/>
          <w:marTop w:val="100"/>
          <w:marBottom w:val="0"/>
          <w:divBdr>
            <w:top w:val="none" w:sz="0" w:space="0" w:color="auto"/>
            <w:left w:val="none" w:sz="0" w:space="0" w:color="auto"/>
            <w:bottom w:val="none" w:sz="0" w:space="0" w:color="auto"/>
            <w:right w:val="none" w:sz="0" w:space="0" w:color="auto"/>
          </w:divBdr>
        </w:div>
      </w:divsChild>
    </w:div>
    <w:div w:id="401105314">
      <w:bodyDiv w:val="1"/>
      <w:marLeft w:val="0"/>
      <w:marRight w:val="0"/>
      <w:marTop w:val="0"/>
      <w:marBottom w:val="0"/>
      <w:divBdr>
        <w:top w:val="none" w:sz="0" w:space="0" w:color="auto"/>
        <w:left w:val="none" w:sz="0" w:space="0" w:color="auto"/>
        <w:bottom w:val="none" w:sz="0" w:space="0" w:color="auto"/>
        <w:right w:val="none" w:sz="0" w:space="0" w:color="auto"/>
      </w:divBdr>
    </w:div>
    <w:div w:id="410003034">
      <w:bodyDiv w:val="1"/>
      <w:marLeft w:val="0"/>
      <w:marRight w:val="0"/>
      <w:marTop w:val="0"/>
      <w:marBottom w:val="0"/>
      <w:divBdr>
        <w:top w:val="none" w:sz="0" w:space="0" w:color="auto"/>
        <w:left w:val="none" w:sz="0" w:space="0" w:color="auto"/>
        <w:bottom w:val="none" w:sz="0" w:space="0" w:color="auto"/>
        <w:right w:val="none" w:sz="0" w:space="0" w:color="auto"/>
      </w:divBdr>
    </w:div>
    <w:div w:id="416053446">
      <w:bodyDiv w:val="1"/>
      <w:marLeft w:val="0"/>
      <w:marRight w:val="0"/>
      <w:marTop w:val="0"/>
      <w:marBottom w:val="0"/>
      <w:divBdr>
        <w:top w:val="none" w:sz="0" w:space="0" w:color="auto"/>
        <w:left w:val="none" w:sz="0" w:space="0" w:color="auto"/>
        <w:bottom w:val="none" w:sz="0" w:space="0" w:color="auto"/>
        <w:right w:val="none" w:sz="0" w:space="0" w:color="auto"/>
      </w:divBdr>
    </w:div>
    <w:div w:id="418134301">
      <w:bodyDiv w:val="1"/>
      <w:marLeft w:val="0"/>
      <w:marRight w:val="0"/>
      <w:marTop w:val="0"/>
      <w:marBottom w:val="0"/>
      <w:divBdr>
        <w:top w:val="none" w:sz="0" w:space="0" w:color="auto"/>
        <w:left w:val="none" w:sz="0" w:space="0" w:color="auto"/>
        <w:bottom w:val="none" w:sz="0" w:space="0" w:color="auto"/>
        <w:right w:val="none" w:sz="0" w:space="0" w:color="auto"/>
      </w:divBdr>
    </w:div>
    <w:div w:id="427972471">
      <w:bodyDiv w:val="1"/>
      <w:marLeft w:val="0"/>
      <w:marRight w:val="0"/>
      <w:marTop w:val="0"/>
      <w:marBottom w:val="0"/>
      <w:divBdr>
        <w:top w:val="none" w:sz="0" w:space="0" w:color="auto"/>
        <w:left w:val="none" w:sz="0" w:space="0" w:color="auto"/>
        <w:bottom w:val="none" w:sz="0" w:space="0" w:color="auto"/>
        <w:right w:val="none" w:sz="0" w:space="0" w:color="auto"/>
      </w:divBdr>
    </w:div>
    <w:div w:id="448665663">
      <w:bodyDiv w:val="1"/>
      <w:marLeft w:val="0"/>
      <w:marRight w:val="0"/>
      <w:marTop w:val="0"/>
      <w:marBottom w:val="0"/>
      <w:divBdr>
        <w:top w:val="none" w:sz="0" w:space="0" w:color="auto"/>
        <w:left w:val="none" w:sz="0" w:space="0" w:color="auto"/>
        <w:bottom w:val="none" w:sz="0" w:space="0" w:color="auto"/>
        <w:right w:val="none" w:sz="0" w:space="0" w:color="auto"/>
      </w:divBdr>
    </w:div>
    <w:div w:id="471602437">
      <w:bodyDiv w:val="1"/>
      <w:marLeft w:val="0"/>
      <w:marRight w:val="0"/>
      <w:marTop w:val="0"/>
      <w:marBottom w:val="0"/>
      <w:divBdr>
        <w:top w:val="none" w:sz="0" w:space="0" w:color="auto"/>
        <w:left w:val="none" w:sz="0" w:space="0" w:color="auto"/>
        <w:bottom w:val="none" w:sz="0" w:space="0" w:color="auto"/>
        <w:right w:val="none" w:sz="0" w:space="0" w:color="auto"/>
      </w:divBdr>
    </w:div>
    <w:div w:id="475071196">
      <w:bodyDiv w:val="1"/>
      <w:marLeft w:val="0"/>
      <w:marRight w:val="0"/>
      <w:marTop w:val="0"/>
      <w:marBottom w:val="0"/>
      <w:divBdr>
        <w:top w:val="none" w:sz="0" w:space="0" w:color="auto"/>
        <w:left w:val="none" w:sz="0" w:space="0" w:color="auto"/>
        <w:bottom w:val="none" w:sz="0" w:space="0" w:color="auto"/>
        <w:right w:val="none" w:sz="0" w:space="0" w:color="auto"/>
      </w:divBdr>
    </w:div>
    <w:div w:id="482431576">
      <w:bodyDiv w:val="1"/>
      <w:marLeft w:val="0"/>
      <w:marRight w:val="0"/>
      <w:marTop w:val="0"/>
      <w:marBottom w:val="0"/>
      <w:divBdr>
        <w:top w:val="none" w:sz="0" w:space="0" w:color="auto"/>
        <w:left w:val="none" w:sz="0" w:space="0" w:color="auto"/>
        <w:bottom w:val="none" w:sz="0" w:space="0" w:color="auto"/>
        <w:right w:val="none" w:sz="0" w:space="0" w:color="auto"/>
      </w:divBdr>
      <w:divsChild>
        <w:div w:id="1958832948">
          <w:marLeft w:val="360"/>
          <w:marRight w:val="0"/>
          <w:marTop w:val="200"/>
          <w:marBottom w:val="0"/>
          <w:divBdr>
            <w:top w:val="none" w:sz="0" w:space="0" w:color="auto"/>
            <w:left w:val="none" w:sz="0" w:space="0" w:color="auto"/>
            <w:bottom w:val="none" w:sz="0" w:space="0" w:color="auto"/>
            <w:right w:val="none" w:sz="0" w:space="0" w:color="auto"/>
          </w:divBdr>
        </w:div>
        <w:div w:id="1938516169">
          <w:marLeft w:val="1080"/>
          <w:marRight w:val="0"/>
          <w:marTop w:val="100"/>
          <w:marBottom w:val="0"/>
          <w:divBdr>
            <w:top w:val="none" w:sz="0" w:space="0" w:color="auto"/>
            <w:left w:val="none" w:sz="0" w:space="0" w:color="auto"/>
            <w:bottom w:val="none" w:sz="0" w:space="0" w:color="auto"/>
            <w:right w:val="none" w:sz="0" w:space="0" w:color="auto"/>
          </w:divBdr>
        </w:div>
        <w:div w:id="312873938">
          <w:marLeft w:val="1080"/>
          <w:marRight w:val="0"/>
          <w:marTop w:val="100"/>
          <w:marBottom w:val="0"/>
          <w:divBdr>
            <w:top w:val="none" w:sz="0" w:space="0" w:color="auto"/>
            <w:left w:val="none" w:sz="0" w:space="0" w:color="auto"/>
            <w:bottom w:val="none" w:sz="0" w:space="0" w:color="auto"/>
            <w:right w:val="none" w:sz="0" w:space="0" w:color="auto"/>
          </w:divBdr>
        </w:div>
        <w:div w:id="1756130861">
          <w:marLeft w:val="1080"/>
          <w:marRight w:val="0"/>
          <w:marTop w:val="100"/>
          <w:marBottom w:val="0"/>
          <w:divBdr>
            <w:top w:val="none" w:sz="0" w:space="0" w:color="auto"/>
            <w:left w:val="none" w:sz="0" w:space="0" w:color="auto"/>
            <w:bottom w:val="none" w:sz="0" w:space="0" w:color="auto"/>
            <w:right w:val="none" w:sz="0" w:space="0" w:color="auto"/>
          </w:divBdr>
        </w:div>
        <w:div w:id="1152211312">
          <w:marLeft w:val="1080"/>
          <w:marRight w:val="0"/>
          <w:marTop w:val="100"/>
          <w:marBottom w:val="0"/>
          <w:divBdr>
            <w:top w:val="none" w:sz="0" w:space="0" w:color="auto"/>
            <w:left w:val="none" w:sz="0" w:space="0" w:color="auto"/>
            <w:bottom w:val="none" w:sz="0" w:space="0" w:color="auto"/>
            <w:right w:val="none" w:sz="0" w:space="0" w:color="auto"/>
          </w:divBdr>
        </w:div>
        <w:div w:id="359286097">
          <w:marLeft w:val="1080"/>
          <w:marRight w:val="0"/>
          <w:marTop w:val="100"/>
          <w:marBottom w:val="0"/>
          <w:divBdr>
            <w:top w:val="none" w:sz="0" w:space="0" w:color="auto"/>
            <w:left w:val="none" w:sz="0" w:space="0" w:color="auto"/>
            <w:bottom w:val="none" w:sz="0" w:space="0" w:color="auto"/>
            <w:right w:val="none" w:sz="0" w:space="0" w:color="auto"/>
          </w:divBdr>
        </w:div>
        <w:div w:id="413354336">
          <w:marLeft w:val="360"/>
          <w:marRight w:val="0"/>
          <w:marTop w:val="200"/>
          <w:marBottom w:val="0"/>
          <w:divBdr>
            <w:top w:val="none" w:sz="0" w:space="0" w:color="auto"/>
            <w:left w:val="none" w:sz="0" w:space="0" w:color="auto"/>
            <w:bottom w:val="none" w:sz="0" w:space="0" w:color="auto"/>
            <w:right w:val="none" w:sz="0" w:space="0" w:color="auto"/>
          </w:divBdr>
        </w:div>
        <w:div w:id="1768426432">
          <w:marLeft w:val="1080"/>
          <w:marRight w:val="0"/>
          <w:marTop w:val="100"/>
          <w:marBottom w:val="0"/>
          <w:divBdr>
            <w:top w:val="none" w:sz="0" w:space="0" w:color="auto"/>
            <w:left w:val="none" w:sz="0" w:space="0" w:color="auto"/>
            <w:bottom w:val="none" w:sz="0" w:space="0" w:color="auto"/>
            <w:right w:val="none" w:sz="0" w:space="0" w:color="auto"/>
          </w:divBdr>
        </w:div>
        <w:div w:id="2043171119">
          <w:marLeft w:val="360"/>
          <w:marRight w:val="0"/>
          <w:marTop w:val="200"/>
          <w:marBottom w:val="0"/>
          <w:divBdr>
            <w:top w:val="none" w:sz="0" w:space="0" w:color="auto"/>
            <w:left w:val="none" w:sz="0" w:space="0" w:color="auto"/>
            <w:bottom w:val="none" w:sz="0" w:space="0" w:color="auto"/>
            <w:right w:val="none" w:sz="0" w:space="0" w:color="auto"/>
          </w:divBdr>
        </w:div>
      </w:divsChild>
    </w:div>
    <w:div w:id="515508735">
      <w:bodyDiv w:val="1"/>
      <w:marLeft w:val="0"/>
      <w:marRight w:val="0"/>
      <w:marTop w:val="0"/>
      <w:marBottom w:val="0"/>
      <w:divBdr>
        <w:top w:val="none" w:sz="0" w:space="0" w:color="auto"/>
        <w:left w:val="none" w:sz="0" w:space="0" w:color="auto"/>
        <w:bottom w:val="none" w:sz="0" w:space="0" w:color="auto"/>
        <w:right w:val="none" w:sz="0" w:space="0" w:color="auto"/>
      </w:divBdr>
    </w:div>
    <w:div w:id="521240038">
      <w:bodyDiv w:val="1"/>
      <w:marLeft w:val="0"/>
      <w:marRight w:val="0"/>
      <w:marTop w:val="0"/>
      <w:marBottom w:val="0"/>
      <w:divBdr>
        <w:top w:val="none" w:sz="0" w:space="0" w:color="auto"/>
        <w:left w:val="none" w:sz="0" w:space="0" w:color="auto"/>
        <w:bottom w:val="none" w:sz="0" w:space="0" w:color="auto"/>
        <w:right w:val="none" w:sz="0" w:space="0" w:color="auto"/>
      </w:divBdr>
    </w:div>
    <w:div w:id="556086264">
      <w:bodyDiv w:val="1"/>
      <w:marLeft w:val="0"/>
      <w:marRight w:val="0"/>
      <w:marTop w:val="0"/>
      <w:marBottom w:val="0"/>
      <w:divBdr>
        <w:top w:val="none" w:sz="0" w:space="0" w:color="auto"/>
        <w:left w:val="none" w:sz="0" w:space="0" w:color="auto"/>
        <w:bottom w:val="none" w:sz="0" w:space="0" w:color="auto"/>
        <w:right w:val="none" w:sz="0" w:space="0" w:color="auto"/>
      </w:divBdr>
    </w:div>
    <w:div w:id="563569948">
      <w:bodyDiv w:val="1"/>
      <w:marLeft w:val="0"/>
      <w:marRight w:val="0"/>
      <w:marTop w:val="0"/>
      <w:marBottom w:val="0"/>
      <w:divBdr>
        <w:top w:val="none" w:sz="0" w:space="0" w:color="auto"/>
        <w:left w:val="none" w:sz="0" w:space="0" w:color="auto"/>
        <w:bottom w:val="none" w:sz="0" w:space="0" w:color="auto"/>
        <w:right w:val="none" w:sz="0" w:space="0" w:color="auto"/>
      </w:divBdr>
    </w:div>
    <w:div w:id="574361281">
      <w:bodyDiv w:val="1"/>
      <w:marLeft w:val="0"/>
      <w:marRight w:val="0"/>
      <w:marTop w:val="0"/>
      <w:marBottom w:val="0"/>
      <w:divBdr>
        <w:top w:val="none" w:sz="0" w:space="0" w:color="auto"/>
        <w:left w:val="none" w:sz="0" w:space="0" w:color="auto"/>
        <w:bottom w:val="none" w:sz="0" w:space="0" w:color="auto"/>
        <w:right w:val="none" w:sz="0" w:space="0" w:color="auto"/>
      </w:divBdr>
    </w:div>
    <w:div w:id="574824719">
      <w:bodyDiv w:val="1"/>
      <w:marLeft w:val="0"/>
      <w:marRight w:val="0"/>
      <w:marTop w:val="0"/>
      <w:marBottom w:val="0"/>
      <w:divBdr>
        <w:top w:val="none" w:sz="0" w:space="0" w:color="auto"/>
        <w:left w:val="none" w:sz="0" w:space="0" w:color="auto"/>
        <w:bottom w:val="none" w:sz="0" w:space="0" w:color="auto"/>
        <w:right w:val="none" w:sz="0" w:space="0" w:color="auto"/>
      </w:divBdr>
    </w:div>
    <w:div w:id="620916373">
      <w:bodyDiv w:val="1"/>
      <w:marLeft w:val="0"/>
      <w:marRight w:val="0"/>
      <w:marTop w:val="0"/>
      <w:marBottom w:val="0"/>
      <w:divBdr>
        <w:top w:val="none" w:sz="0" w:space="0" w:color="auto"/>
        <w:left w:val="none" w:sz="0" w:space="0" w:color="auto"/>
        <w:bottom w:val="none" w:sz="0" w:space="0" w:color="auto"/>
        <w:right w:val="none" w:sz="0" w:space="0" w:color="auto"/>
      </w:divBdr>
    </w:div>
    <w:div w:id="671300940">
      <w:bodyDiv w:val="1"/>
      <w:marLeft w:val="0"/>
      <w:marRight w:val="0"/>
      <w:marTop w:val="0"/>
      <w:marBottom w:val="0"/>
      <w:divBdr>
        <w:top w:val="none" w:sz="0" w:space="0" w:color="auto"/>
        <w:left w:val="none" w:sz="0" w:space="0" w:color="auto"/>
        <w:bottom w:val="none" w:sz="0" w:space="0" w:color="auto"/>
        <w:right w:val="none" w:sz="0" w:space="0" w:color="auto"/>
      </w:divBdr>
    </w:div>
    <w:div w:id="692076079">
      <w:bodyDiv w:val="1"/>
      <w:marLeft w:val="0"/>
      <w:marRight w:val="0"/>
      <w:marTop w:val="0"/>
      <w:marBottom w:val="0"/>
      <w:divBdr>
        <w:top w:val="none" w:sz="0" w:space="0" w:color="auto"/>
        <w:left w:val="none" w:sz="0" w:space="0" w:color="auto"/>
        <w:bottom w:val="none" w:sz="0" w:space="0" w:color="auto"/>
        <w:right w:val="none" w:sz="0" w:space="0" w:color="auto"/>
      </w:divBdr>
    </w:div>
    <w:div w:id="715541467">
      <w:bodyDiv w:val="1"/>
      <w:marLeft w:val="0"/>
      <w:marRight w:val="0"/>
      <w:marTop w:val="0"/>
      <w:marBottom w:val="0"/>
      <w:divBdr>
        <w:top w:val="none" w:sz="0" w:space="0" w:color="auto"/>
        <w:left w:val="none" w:sz="0" w:space="0" w:color="auto"/>
        <w:bottom w:val="none" w:sz="0" w:space="0" w:color="auto"/>
        <w:right w:val="none" w:sz="0" w:space="0" w:color="auto"/>
      </w:divBdr>
    </w:div>
    <w:div w:id="717514217">
      <w:bodyDiv w:val="1"/>
      <w:marLeft w:val="0"/>
      <w:marRight w:val="0"/>
      <w:marTop w:val="0"/>
      <w:marBottom w:val="0"/>
      <w:divBdr>
        <w:top w:val="none" w:sz="0" w:space="0" w:color="auto"/>
        <w:left w:val="none" w:sz="0" w:space="0" w:color="auto"/>
        <w:bottom w:val="none" w:sz="0" w:space="0" w:color="auto"/>
        <w:right w:val="none" w:sz="0" w:space="0" w:color="auto"/>
      </w:divBdr>
    </w:div>
    <w:div w:id="728726944">
      <w:bodyDiv w:val="1"/>
      <w:marLeft w:val="0"/>
      <w:marRight w:val="0"/>
      <w:marTop w:val="0"/>
      <w:marBottom w:val="0"/>
      <w:divBdr>
        <w:top w:val="none" w:sz="0" w:space="0" w:color="auto"/>
        <w:left w:val="none" w:sz="0" w:space="0" w:color="auto"/>
        <w:bottom w:val="none" w:sz="0" w:space="0" w:color="auto"/>
        <w:right w:val="none" w:sz="0" w:space="0" w:color="auto"/>
      </w:divBdr>
    </w:div>
    <w:div w:id="734471555">
      <w:bodyDiv w:val="1"/>
      <w:marLeft w:val="0"/>
      <w:marRight w:val="0"/>
      <w:marTop w:val="0"/>
      <w:marBottom w:val="0"/>
      <w:divBdr>
        <w:top w:val="none" w:sz="0" w:space="0" w:color="auto"/>
        <w:left w:val="none" w:sz="0" w:space="0" w:color="auto"/>
        <w:bottom w:val="none" w:sz="0" w:space="0" w:color="auto"/>
        <w:right w:val="none" w:sz="0" w:space="0" w:color="auto"/>
      </w:divBdr>
    </w:div>
    <w:div w:id="742292656">
      <w:bodyDiv w:val="1"/>
      <w:marLeft w:val="0"/>
      <w:marRight w:val="0"/>
      <w:marTop w:val="0"/>
      <w:marBottom w:val="0"/>
      <w:divBdr>
        <w:top w:val="none" w:sz="0" w:space="0" w:color="auto"/>
        <w:left w:val="none" w:sz="0" w:space="0" w:color="auto"/>
        <w:bottom w:val="none" w:sz="0" w:space="0" w:color="auto"/>
        <w:right w:val="none" w:sz="0" w:space="0" w:color="auto"/>
      </w:divBdr>
    </w:div>
    <w:div w:id="763764635">
      <w:bodyDiv w:val="1"/>
      <w:marLeft w:val="0"/>
      <w:marRight w:val="0"/>
      <w:marTop w:val="0"/>
      <w:marBottom w:val="0"/>
      <w:divBdr>
        <w:top w:val="none" w:sz="0" w:space="0" w:color="auto"/>
        <w:left w:val="none" w:sz="0" w:space="0" w:color="auto"/>
        <w:bottom w:val="none" w:sz="0" w:space="0" w:color="auto"/>
        <w:right w:val="none" w:sz="0" w:space="0" w:color="auto"/>
      </w:divBdr>
    </w:div>
    <w:div w:id="776559055">
      <w:bodyDiv w:val="1"/>
      <w:marLeft w:val="0"/>
      <w:marRight w:val="0"/>
      <w:marTop w:val="0"/>
      <w:marBottom w:val="0"/>
      <w:divBdr>
        <w:top w:val="none" w:sz="0" w:space="0" w:color="auto"/>
        <w:left w:val="none" w:sz="0" w:space="0" w:color="auto"/>
        <w:bottom w:val="none" w:sz="0" w:space="0" w:color="auto"/>
        <w:right w:val="none" w:sz="0" w:space="0" w:color="auto"/>
      </w:divBdr>
    </w:div>
    <w:div w:id="822239910">
      <w:bodyDiv w:val="1"/>
      <w:marLeft w:val="0"/>
      <w:marRight w:val="0"/>
      <w:marTop w:val="0"/>
      <w:marBottom w:val="0"/>
      <w:divBdr>
        <w:top w:val="none" w:sz="0" w:space="0" w:color="auto"/>
        <w:left w:val="none" w:sz="0" w:space="0" w:color="auto"/>
        <w:bottom w:val="none" w:sz="0" w:space="0" w:color="auto"/>
        <w:right w:val="none" w:sz="0" w:space="0" w:color="auto"/>
      </w:divBdr>
    </w:div>
    <w:div w:id="834347548">
      <w:bodyDiv w:val="1"/>
      <w:marLeft w:val="0"/>
      <w:marRight w:val="0"/>
      <w:marTop w:val="0"/>
      <w:marBottom w:val="0"/>
      <w:divBdr>
        <w:top w:val="none" w:sz="0" w:space="0" w:color="auto"/>
        <w:left w:val="none" w:sz="0" w:space="0" w:color="auto"/>
        <w:bottom w:val="none" w:sz="0" w:space="0" w:color="auto"/>
        <w:right w:val="none" w:sz="0" w:space="0" w:color="auto"/>
      </w:divBdr>
    </w:div>
    <w:div w:id="852382596">
      <w:bodyDiv w:val="1"/>
      <w:marLeft w:val="0"/>
      <w:marRight w:val="0"/>
      <w:marTop w:val="0"/>
      <w:marBottom w:val="0"/>
      <w:divBdr>
        <w:top w:val="none" w:sz="0" w:space="0" w:color="auto"/>
        <w:left w:val="none" w:sz="0" w:space="0" w:color="auto"/>
        <w:bottom w:val="none" w:sz="0" w:space="0" w:color="auto"/>
        <w:right w:val="none" w:sz="0" w:space="0" w:color="auto"/>
      </w:divBdr>
    </w:div>
    <w:div w:id="857043387">
      <w:bodyDiv w:val="1"/>
      <w:marLeft w:val="0"/>
      <w:marRight w:val="0"/>
      <w:marTop w:val="0"/>
      <w:marBottom w:val="0"/>
      <w:divBdr>
        <w:top w:val="none" w:sz="0" w:space="0" w:color="auto"/>
        <w:left w:val="none" w:sz="0" w:space="0" w:color="auto"/>
        <w:bottom w:val="none" w:sz="0" w:space="0" w:color="auto"/>
        <w:right w:val="none" w:sz="0" w:space="0" w:color="auto"/>
      </w:divBdr>
    </w:div>
    <w:div w:id="885216394">
      <w:bodyDiv w:val="1"/>
      <w:marLeft w:val="0"/>
      <w:marRight w:val="0"/>
      <w:marTop w:val="0"/>
      <w:marBottom w:val="0"/>
      <w:divBdr>
        <w:top w:val="none" w:sz="0" w:space="0" w:color="auto"/>
        <w:left w:val="none" w:sz="0" w:space="0" w:color="auto"/>
        <w:bottom w:val="none" w:sz="0" w:space="0" w:color="auto"/>
        <w:right w:val="none" w:sz="0" w:space="0" w:color="auto"/>
      </w:divBdr>
    </w:div>
    <w:div w:id="891161699">
      <w:bodyDiv w:val="1"/>
      <w:marLeft w:val="0"/>
      <w:marRight w:val="0"/>
      <w:marTop w:val="0"/>
      <w:marBottom w:val="0"/>
      <w:divBdr>
        <w:top w:val="none" w:sz="0" w:space="0" w:color="auto"/>
        <w:left w:val="none" w:sz="0" w:space="0" w:color="auto"/>
        <w:bottom w:val="none" w:sz="0" w:space="0" w:color="auto"/>
        <w:right w:val="none" w:sz="0" w:space="0" w:color="auto"/>
      </w:divBdr>
    </w:div>
    <w:div w:id="929856058">
      <w:bodyDiv w:val="1"/>
      <w:marLeft w:val="0"/>
      <w:marRight w:val="0"/>
      <w:marTop w:val="0"/>
      <w:marBottom w:val="0"/>
      <w:divBdr>
        <w:top w:val="none" w:sz="0" w:space="0" w:color="auto"/>
        <w:left w:val="none" w:sz="0" w:space="0" w:color="auto"/>
        <w:bottom w:val="none" w:sz="0" w:space="0" w:color="auto"/>
        <w:right w:val="none" w:sz="0" w:space="0" w:color="auto"/>
      </w:divBdr>
    </w:div>
    <w:div w:id="986058981">
      <w:bodyDiv w:val="1"/>
      <w:marLeft w:val="0"/>
      <w:marRight w:val="0"/>
      <w:marTop w:val="0"/>
      <w:marBottom w:val="0"/>
      <w:divBdr>
        <w:top w:val="none" w:sz="0" w:space="0" w:color="auto"/>
        <w:left w:val="none" w:sz="0" w:space="0" w:color="auto"/>
        <w:bottom w:val="none" w:sz="0" w:space="0" w:color="auto"/>
        <w:right w:val="none" w:sz="0" w:space="0" w:color="auto"/>
      </w:divBdr>
      <w:divsChild>
        <w:div w:id="687677061">
          <w:marLeft w:val="360"/>
          <w:marRight w:val="0"/>
          <w:marTop w:val="200"/>
          <w:marBottom w:val="0"/>
          <w:divBdr>
            <w:top w:val="none" w:sz="0" w:space="0" w:color="auto"/>
            <w:left w:val="none" w:sz="0" w:space="0" w:color="auto"/>
            <w:bottom w:val="none" w:sz="0" w:space="0" w:color="auto"/>
            <w:right w:val="none" w:sz="0" w:space="0" w:color="auto"/>
          </w:divBdr>
        </w:div>
        <w:div w:id="679548307">
          <w:marLeft w:val="1080"/>
          <w:marRight w:val="0"/>
          <w:marTop w:val="100"/>
          <w:marBottom w:val="0"/>
          <w:divBdr>
            <w:top w:val="none" w:sz="0" w:space="0" w:color="auto"/>
            <w:left w:val="none" w:sz="0" w:space="0" w:color="auto"/>
            <w:bottom w:val="none" w:sz="0" w:space="0" w:color="auto"/>
            <w:right w:val="none" w:sz="0" w:space="0" w:color="auto"/>
          </w:divBdr>
        </w:div>
        <w:div w:id="1721399419">
          <w:marLeft w:val="1080"/>
          <w:marRight w:val="0"/>
          <w:marTop w:val="100"/>
          <w:marBottom w:val="0"/>
          <w:divBdr>
            <w:top w:val="none" w:sz="0" w:space="0" w:color="auto"/>
            <w:left w:val="none" w:sz="0" w:space="0" w:color="auto"/>
            <w:bottom w:val="none" w:sz="0" w:space="0" w:color="auto"/>
            <w:right w:val="none" w:sz="0" w:space="0" w:color="auto"/>
          </w:divBdr>
        </w:div>
        <w:div w:id="2036341194">
          <w:marLeft w:val="1080"/>
          <w:marRight w:val="0"/>
          <w:marTop w:val="100"/>
          <w:marBottom w:val="0"/>
          <w:divBdr>
            <w:top w:val="none" w:sz="0" w:space="0" w:color="auto"/>
            <w:left w:val="none" w:sz="0" w:space="0" w:color="auto"/>
            <w:bottom w:val="none" w:sz="0" w:space="0" w:color="auto"/>
            <w:right w:val="none" w:sz="0" w:space="0" w:color="auto"/>
          </w:divBdr>
        </w:div>
        <w:div w:id="1742173617">
          <w:marLeft w:val="360"/>
          <w:marRight w:val="0"/>
          <w:marTop w:val="200"/>
          <w:marBottom w:val="0"/>
          <w:divBdr>
            <w:top w:val="none" w:sz="0" w:space="0" w:color="auto"/>
            <w:left w:val="none" w:sz="0" w:space="0" w:color="auto"/>
            <w:bottom w:val="none" w:sz="0" w:space="0" w:color="auto"/>
            <w:right w:val="none" w:sz="0" w:space="0" w:color="auto"/>
          </w:divBdr>
        </w:div>
        <w:div w:id="2097748657">
          <w:marLeft w:val="1080"/>
          <w:marRight w:val="0"/>
          <w:marTop w:val="100"/>
          <w:marBottom w:val="0"/>
          <w:divBdr>
            <w:top w:val="none" w:sz="0" w:space="0" w:color="auto"/>
            <w:left w:val="none" w:sz="0" w:space="0" w:color="auto"/>
            <w:bottom w:val="none" w:sz="0" w:space="0" w:color="auto"/>
            <w:right w:val="none" w:sz="0" w:space="0" w:color="auto"/>
          </w:divBdr>
        </w:div>
        <w:div w:id="1150899380">
          <w:marLeft w:val="1080"/>
          <w:marRight w:val="0"/>
          <w:marTop w:val="100"/>
          <w:marBottom w:val="0"/>
          <w:divBdr>
            <w:top w:val="none" w:sz="0" w:space="0" w:color="auto"/>
            <w:left w:val="none" w:sz="0" w:space="0" w:color="auto"/>
            <w:bottom w:val="none" w:sz="0" w:space="0" w:color="auto"/>
            <w:right w:val="none" w:sz="0" w:space="0" w:color="auto"/>
          </w:divBdr>
        </w:div>
        <w:div w:id="1949847432">
          <w:marLeft w:val="1080"/>
          <w:marRight w:val="0"/>
          <w:marTop w:val="100"/>
          <w:marBottom w:val="0"/>
          <w:divBdr>
            <w:top w:val="none" w:sz="0" w:space="0" w:color="auto"/>
            <w:left w:val="none" w:sz="0" w:space="0" w:color="auto"/>
            <w:bottom w:val="none" w:sz="0" w:space="0" w:color="auto"/>
            <w:right w:val="none" w:sz="0" w:space="0" w:color="auto"/>
          </w:divBdr>
        </w:div>
      </w:divsChild>
    </w:div>
    <w:div w:id="1023675445">
      <w:bodyDiv w:val="1"/>
      <w:marLeft w:val="0"/>
      <w:marRight w:val="0"/>
      <w:marTop w:val="0"/>
      <w:marBottom w:val="0"/>
      <w:divBdr>
        <w:top w:val="none" w:sz="0" w:space="0" w:color="auto"/>
        <w:left w:val="none" w:sz="0" w:space="0" w:color="auto"/>
        <w:bottom w:val="none" w:sz="0" w:space="0" w:color="auto"/>
        <w:right w:val="none" w:sz="0" w:space="0" w:color="auto"/>
      </w:divBdr>
    </w:div>
    <w:div w:id="1045062439">
      <w:bodyDiv w:val="1"/>
      <w:marLeft w:val="0"/>
      <w:marRight w:val="0"/>
      <w:marTop w:val="0"/>
      <w:marBottom w:val="0"/>
      <w:divBdr>
        <w:top w:val="none" w:sz="0" w:space="0" w:color="auto"/>
        <w:left w:val="none" w:sz="0" w:space="0" w:color="auto"/>
        <w:bottom w:val="none" w:sz="0" w:space="0" w:color="auto"/>
        <w:right w:val="none" w:sz="0" w:space="0" w:color="auto"/>
      </w:divBdr>
      <w:divsChild>
        <w:div w:id="1803381006">
          <w:marLeft w:val="0"/>
          <w:marRight w:val="0"/>
          <w:marTop w:val="0"/>
          <w:marBottom w:val="0"/>
          <w:divBdr>
            <w:top w:val="none" w:sz="0" w:space="0" w:color="auto"/>
            <w:left w:val="none" w:sz="0" w:space="0" w:color="auto"/>
            <w:bottom w:val="none" w:sz="0" w:space="0" w:color="auto"/>
            <w:right w:val="none" w:sz="0" w:space="0" w:color="auto"/>
          </w:divBdr>
        </w:div>
        <w:div w:id="1659919172">
          <w:marLeft w:val="0"/>
          <w:marRight w:val="0"/>
          <w:marTop w:val="0"/>
          <w:marBottom w:val="0"/>
          <w:divBdr>
            <w:top w:val="none" w:sz="0" w:space="0" w:color="auto"/>
            <w:left w:val="none" w:sz="0" w:space="0" w:color="auto"/>
            <w:bottom w:val="none" w:sz="0" w:space="0" w:color="auto"/>
            <w:right w:val="none" w:sz="0" w:space="0" w:color="auto"/>
          </w:divBdr>
        </w:div>
        <w:div w:id="1828090914">
          <w:marLeft w:val="0"/>
          <w:marRight w:val="0"/>
          <w:marTop w:val="0"/>
          <w:marBottom w:val="0"/>
          <w:divBdr>
            <w:top w:val="none" w:sz="0" w:space="0" w:color="auto"/>
            <w:left w:val="none" w:sz="0" w:space="0" w:color="auto"/>
            <w:bottom w:val="none" w:sz="0" w:space="0" w:color="auto"/>
            <w:right w:val="none" w:sz="0" w:space="0" w:color="auto"/>
          </w:divBdr>
        </w:div>
        <w:div w:id="1551308737">
          <w:marLeft w:val="0"/>
          <w:marRight w:val="0"/>
          <w:marTop w:val="0"/>
          <w:marBottom w:val="0"/>
          <w:divBdr>
            <w:top w:val="none" w:sz="0" w:space="0" w:color="auto"/>
            <w:left w:val="none" w:sz="0" w:space="0" w:color="auto"/>
            <w:bottom w:val="none" w:sz="0" w:space="0" w:color="auto"/>
            <w:right w:val="none" w:sz="0" w:space="0" w:color="auto"/>
          </w:divBdr>
        </w:div>
        <w:div w:id="1677423220">
          <w:marLeft w:val="0"/>
          <w:marRight w:val="0"/>
          <w:marTop w:val="0"/>
          <w:marBottom w:val="0"/>
          <w:divBdr>
            <w:top w:val="none" w:sz="0" w:space="0" w:color="auto"/>
            <w:left w:val="none" w:sz="0" w:space="0" w:color="auto"/>
            <w:bottom w:val="none" w:sz="0" w:space="0" w:color="auto"/>
            <w:right w:val="none" w:sz="0" w:space="0" w:color="auto"/>
          </w:divBdr>
        </w:div>
        <w:div w:id="1812139024">
          <w:marLeft w:val="0"/>
          <w:marRight w:val="0"/>
          <w:marTop w:val="0"/>
          <w:marBottom w:val="0"/>
          <w:divBdr>
            <w:top w:val="none" w:sz="0" w:space="0" w:color="auto"/>
            <w:left w:val="none" w:sz="0" w:space="0" w:color="auto"/>
            <w:bottom w:val="none" w:sz="0" w:space="0" w:color="auto"/>
            <w:right w:val="none" w:sz="0" w:space="0" w:color="auto"/>
          </w:divBdr>
        </w:div>
        <w:div w:id="1328709446">
          <w:marLeft w:val="0"/>
          <w:marRight w:val="0"/>
          <w:marTop w:val="0"/>
          <w:marBottom w:val="0"/>
          <w:divBdr>
            <w:top w:val="none" w:sz="0" w:space="0" w:color="auto"/>
            <w:left w:val="none" w:sz="0" w:space="0" w:color="auto"/>
            <w:bottom w:val="none" w:sz="0" w:space="0" w:color="auto"/>
            <w:right w:val="none" w:sz="0" w:space="0" w:color="auto"/>
          </w:divBdr>
        </w:div>
      </w:divsChild>
    </w:div>
    <w:div w:id="1063868628">
      <w:bodyDiv w:val="1"/>
      <w:marLeft w:val="0"/>
      <w:marRight w:val="0"/>
      <w:marTop w:val="0"/>
      <w:marBottom w:val="0"/>
      <w:divBdr>
        <w:top w:val="none" w:sz="0" w:space="0" w:color="auto"/>
        <w:left w:val="none" w:sz="0" w:space="0" w:color="auto"/>
        <w:bottom w:val="none" w:sz="0" w:space="0" w:color="auto"/>
        <w:right w:val="none" w:sz="0" w:space="0" w:color="auto"/>
      </w:divBdr>
    </w:div>
    <w:div w:id="1067803580">
      <w:bodyDiv w:val="1"/>
      <w:marLeft w:val="0"/>
      <w:marRight w:val="0"/>
      <w:marTop w:val="0"/>
      <w:marBottom w:val="0"/>
      <w:divBdr>
        <w:top w:val="none" w:sz="0" w:space="0" w:color="auto"/>
        <w:left w:val="none" w:sz="0" w:space="0" w:color="auto"/>
        <w:bottom w:val="none" w:sz="0" w:space="0" w:color="auto"/>
        <w:right w:val="none" w:sz="0" w:space="0" w:color="auto"/>
      </w:divBdr>
      <w:divsChild>
        <w:div w:id="332030197">
          <w:marLeft w:val="547"/>
          <w:marRight w:val="0"/>
          <w:marTop w:val="86"/>
          <w:marBottom w:val="0"/>
          <w:divBdr>
            <w:top w:val="none" w:sz="0" w:space="0" w:color="auto"/>
            <w:left w:val="none" w:sz="0" w:space="0" w:color="auto"/>
            <w:bottom w:val="none" w:sz="0" w:space="0" w:color="auto"/>
            <w:right w:val="none" w:sz="0" w:space="0" w:color="auto"/>
          </w:divBdr>
        </w:div>
        <w:div w:id="1942180380">
          <w:marLeft w:val="547"/>
          <w:marRight w:val="0"/>
          <w:marTop w:val="86"/>
          <w:marBottom w:val="0"/>
          <w:divBdr>
            <w:top w:val="none" w:sz="0" w:space="0" w:color="auto"/>
            <w:left w:val="none" w:sz="0" w:space="0" w:color="auto"/>
            <w:bottom w:val="none" w:sz="0" w:space="0" w:color="auto"/>
            <w:right w:val="none" w:sz="0" w:space="0" w:color="auto"/>
          </w:divBdr>
        </w:div>
        <w:div w:id="1071343904">
          <w:marLeft w:val="547"/>
          <w:marRight w:val="0"/>
          <w:marTop w:val="86"/>
          <w:marBottom w:val="0"/>
          <w:divBdr>
            <w:top w:val="none" w:sz="0" w:space="0" w:color="auto"/>
            <w:left w:val="none" w:sz="0" w:space="0" w:color="auto"/>
            <w:bottom w:val="none" w:sz="0" w:space="0" w:color="auto"/>
            <w:right w:val="none" w:sz="0" w:space="0" w:color="auto"/>
          </w:divBdr>
        </w:div>
        <w:div w:id="1351639476">
          <w:marLeft w:val="547"/>
          <w:marRight w:val="0"/>
          <w:marTop w:val="86"/>
          <w:marBottom w:val="0"/>
          <w:divBdr>
            <w:top w:val="none" w:sz="0" w:space="0" w:color="auto"/>
            <w:left w:val="none" w:sz="0" w:space="0" w:color="auto"/>
            <w:bottom w:val="none" w:sz="0" w:space="0" w:color="auto"/>
            <w:right w:val="none" w:sz="0" w:space="0" w:color="auto"/>
          </w:divBdr>
        </w:div>
        <w:div w:id="432827587">
          <w:marLeft w:val="547"/>
          <w:marRight w:val="0"/>
          <w:marTop w:val="86"/>
          <w:marBottom w:val="0"/>
          <w:divBdr>
            <w:top w:val="none" w:sz="0" w:space="0" w:color="auto"/>
            <w:left w:val="none" w:sz="0" w:space="0" w:color="auto"/>
            <w:bottom w:val="none" w:sz="0" w:space="0" w:color="auto"/>
            <w:right w:val="none" w:sz="0" w:space="0" w:color="auto"/>
          </w:divBdr>
        </w:div>
        <w:div w:id="1161234164">
          <w:marLeft w:val="547"/>
          <w:marRight w:val="0"/>
          <w:marTop w:val="86"/>
          <w:marBottom w:val="0"/>
          <w:divBdr>
            <w:top w:val="none" w:sz="0" w:space="0" w:color="auto"/>
            <w:left w:val="none" w:sz="0" w:space="0" w:color="auto"/>
            <w:bottom w:val="none" w:sz="0" w:space="0" w:color="auto"/>
            <w:right w:val="none" w:sz="0" w:space="0" w:color="auto"/>
          </w:divBdr>
        </w:div>
      </w:divsChild>
    </w:div>
    <w:div w:id="1077676832">
      <w:bodyDiv w:val="1"/>
      <w:marLeft w:val="0"/>
      <w:marRight w:val="0"/>
      <w:marTop w:val="0"/>
      <w:marBottom w:val="0"/>
      <w:divBdr>
        <w:top w:val="none" w:sz="0" w:space="0" w:color="auto"/>
        <w:left w:val="none" w:sz="0" w:space="0" w:color="auto"/>
        <w:bottom w:val="none" w:sz="0" w:space="0" w:color="auto"/>
        <w:right w:val="none" w:sz="0" w:space="0" w:color="auto"/>
      </w:divBdr>
    </w:div>
    <w:div w:id="1080448279">
      <w:bodyDiv w:val="1"/>
      <w:marLeft w:val="0"/>
      <w:marRight w:val="0"/>
      <w:marTop w:val="0"/>
      <w:marBottom w:val="0"/>
      <w:divBdr>
        <w:top w:val="none" w:sz="0" w:space="0" w:color="auto"/>
        <w:left w:val="none" w:sz="0" w:space="0" w:color="auto"/>
        <w:bottom w:val="none" w:sz="0" w:space="0" w:color="auto"/>
        <w:right w:val="none" w:sz="0" w:space="0" w:color="auto"/>
      </w:divBdr>
      <w:divsChild>
        <w:div w:id="1651447302">
          <w:marLeft w:val="360"/>
          <w:marRight w:val="0"/>
          <w:marTop w:val="200"/>
          <w:marBottom w:val="0"/>
          <w:divBdr>
            <w:top w:val="none" w:sz="0" w:space="0" w:color="auto"/>
            <w:left w:val="none" w:sz="0" w:space="0" w:color="auto"/>
            <w:bottom w:val="none" w:sz="0" w:space="0" w:color="auto"/>
            <w:right w:val="none" w:sz="0" w:space="0" w:color="auto"/>
          </w:divBdr>
        </w:div>
        <w:div w:id="1573850740">
          <w:marLeft w:val="1080"/>
          <w:marRight w:val="0"/>
          <w:marTop w:val="100"/>
          <w:marBottom w:val="0"/>
          <w:divBdr>
            <w:top w:val="none" w:sz="0" w:space="0" w:color="auto"/>
            <w:left w:val="none" w:sz="0" w:space="0" w:color="auto"/>
            <w:bottom w:val="none" w:sz="0" w:space="0" w:color="auto"/>
            <w:right w:val="none" w:sz="0" w:space="0" w:color="auto"/>
          </w:divBdr>
        </w:div>
        <w:div w:id="450128459">
          <w:marLeft w:val="1080"/>
          <w:marRight w:val="0"/>
          <w:marTop w:val="100"/>
          <w:marBottom w:val="0"/>
          <w:divBdr>
            <w:top w:val="none" w:sz="0" w:space="0" w:color="auto"/>
            <w:left w:val="none" w:sz="0" w:space="0" w:color="auto"/>
            <w:bottom w:val="none" w:sz="0" w:space="0" w:color="auto"/>
            <w:right w:val="none" w:sz="0" w:space="0" w:color="auto"/>
          </w:divBdr>
        </w:div>
        <w:div w:id="1259361909">
          <w:marLeft w:val="1080"/>
          <w:marRight w:val="0"/>
          <w:marTop w:val="100"/>
          <w:marBottom w:val="0"/>
          <w:divBdr>
            <w:top w:val="none" w:sz="0" w:space="0" w:color="auto"/>
            <w:left w:val="none" w:sz="0" w:space="0" w:color="auto"/>
            <w:bottom w:val="none" w:sz="0" w:space="0" w:color="auto"/>
            <w:right w:val="none" w:sz="0" w:space="0" w:color="auto"/>
          </w:divBdr>
        </w:div>
        <w:div w:id="542258059">
          <w:marLeft w:val="1080"/>
          <w:marRight w:val="0"/>
          <w:marTop w:val="100"/>
          <w:marBottom w:val="0"/>
          <w:divBdr>
            <w:top w:val="none" w:sz="0" w:space="0" w:color="auto"/>
            <w:left w:val="none" w:sz="0" w:space="0" w:color="auto"/>
            <w:bottom w:val="none" w:sz="0" w:space="0" w:color="auto"/>
            <w:right w:val="none" w:sz="0" w:space="0" w:color="auto"/>
          </w:divBdr>
        </w:div>
        <w:div w:id="1318219099">
          <w:marLeft w:val="1080"/>
          <w:marRight w:val="0"/>
          <w:marTop w:val="100"/>
          <w:marBottom w:val="0"/>
          <w:divBdr>
            <w:top w:val="none" w:sz="0" w:space="0" w:color="auto"/>
            <w:left w:val="none" w:sz="0" w:space="0" w:color="auto"/>
            <w:bottom w:val="none" w:sz="0" w:space="0" w:color="auto"/>
            <w:right w:val="none" w:sz="0" w:space="0" w:color="auto"/>
          </w:divBdr>
        </w:div>
        <w:div w:id="34156575">
          <w:marLeft w:val="360"/>
          <w:marRight w:val="0"/>
          <w:marTop w:val="200"/>
          <w:marBottom w:val="0"/>
          <w:divBdr>
            <w:top w:val="none" w:sz="0" w:space="0" w:color="auto"/>
            <w:left w:val="none" w:sz="0" w:space="0" w:color="auto"/>
            <w:bottom w:val="none" w:sz="0" w:space="0" w:color="auto"/>
            <w:right w:val="none" w:sz="0" w:space="0" w:color="auto"/>
          </w:divBdr>
        </w:div>
        <w:div w:id="485777885">
          <w:marLeft w:val="1080"/>
          <w:marRight w:val="0"/>
          <w:marTop w:val="100"/>
          <w:marBottom w:val="0"/>
          <w:divBdr>
            <w:top w:val="none" w:sz="0" w:space="0" w:color="auto"/>
            <w:left w:val="none" w:sz="0" w:space="0" w:color="auto"/>
            <w:bottom w:val="none" w:sz="0" w:space="0" w:color="auto"/>
            <w:right w:val="none" w:sz="0" w:space="0" w:color="auto"/>
          </w:divBdr>
        </w:div>
        <w:div w:id="1976137741">
          <w:marLeft w:val="360"/>
          <w:marRight w:val="0"/>
          <w:marTop w:val="200"/>
          <w:marBottom w:val="0"/>
          <w:divBdr>
            <w:top w:val="none" w:sz="0" w:space="0" w:color="auto"/>
            <w:left w:val="none" w:sz="0" w:space="0" w:color="auto"/>
            <w:bottom w:val="none" w:sz="0" w:space="0" w:color="auto"/>
            <w:right w:val="none" w:sz="0" w:space="0" w:color="auto"/>
          </w:divBdr>
        </w:div>
      </w:divsChild>
    </w:div>
    <w:div w:id="1093434310">
      <w:bodyDiv w:val="1"/>
      <w:marLeft w:val="0"/>
      <w:marRight w:val="0"/>
      <w:marTop w:val="0"/>
      <w:marBottom w:val="0"/>
      <w:divBdr>
        <w:top w:val="none" w:sz="0" w:space="0" w:color="auto"/>
        <w:left w:val="none" w:sz="0" w:space="0" w:color="auto"/>
        <w:bottom w:val="none" w:sz="0" w:space="0" w:color="auto"/>
        <w:right w:val="none" w:sz="0" w:space="0" w:color="auto"/>
      </w:divBdr>
    </w:div>
    <w:div w:id="1106266886">
      <w:bodyDiv w:val="1"/>
      <w:marLeft w:val="0"/>
      <w:marRight w:val="0"/>
      <w:marTop w:val="0"/>
      <w:marBottom w:val="0"/>
      <w:divBdr>
        <w:top w:val="none" w:sz="0" w:space="0" w:color="auto"/>
        <w:left w:val="none" w:sz="0" w:space="0" w:color="auto"/>
        <w:bottom w:val="none" w:sz="0" w:space="0" w:color="auto"/>
        <w:right w:val="none" w:sz="0" w:space="0" w:color="auto"/>
      </w:divBdr>
    </w:div>
    <w:div w:id="1113210787">
      <w:bodyDiv w:val="1"/>
      <w:marLeft w:val="0"/>
      <w:marRight w:val="0"/>
      <w:marTop w:val="0"/>
      <w:marBottom w:val="0"/>
      <w:divBdr>
        <w:top w:val="none" w:sz="0" w:space="0" w:color="auto"/>
        <w:left w:val="none" w:sz="0" w:space="0" w:color="auto"/>
        <w:bottom w:val="none" w:sz="0" w:space="0" w:color="auto"/>
        <w:right w:val="none" w:sz="0" w:space="0" w:color="auto"/>
      </w:divBdr>
    </w:div>
    <w:div w:id="1123842123">
      <w:bodyDiv w:val="1"/>
      <w:marLeft w:val="0"/>
      <w:marRight w:val="0"/>
      <w:marTop w:val="0"/>
      <w:marBottom w:val="0"/>
      <w:divBdr>
        <w:top w:val="none" w:sz="0" w:space="0" w:color="auto"/>
        <w:left w:val="none" w:sz="0" w:space="0" w:color="auto"/>
        <w:bottom w:val="none" w:sz="0" w:space="0" w:color="auto"/>
        <w:right w:val="none" w:sz="0" w:space="0" w:color="auto"/>
      </w:divBdr>
    </w:div>
    <w:div w:id="1133400189">
      <w:bodyDiv w:val="1"/>
      <w:marLeft w:val="0"/>
      <w:marRight w:val="0"/>
      <w:marTop w:val="0"/>
      <w:marBottom w:val="0"/>
      <w:divBdr>
        <w:top w:val="none" w:sz="0" w:space="0" w:color="auto"/>
        <w:left w:val="none" w:sz="0" w:space="0" w:color="auto"/>
        <w:bottom w:val="none" w:sz="0" w:space="0" w:color="auto"/>
        <w:right w:val="none" w:sz="0" w:space="0" w:color="auto"/>
      </w:divBdr>
    </w:div>
    <w:div w:id="1138035719">
      <w:bodyDiv w:val="1"/>
      <w:marLeft w:val="0"/>
      <w:marRight w:val="0"/>
      <w:marTop w:val="0"/>
      <w:marBottom w:val="0"/>
      <w:divBdr>
        <w:top w:val="none" w:sz="0" w:space="0" w:color="auto"/>
        <w:left w:val="none" w:sz="0" w:space="0" w:color="auto"/>
        <w:bottom w:val="none" w:sz="0" w:space="0" w:color="auto"/>
        <w:right w:val="none" w:sz="0" w:space="0" w:color="auto"/>
      </w:divBdr>
    </w:div>
    <w:div w:id="1146245726">
      <w:bodyDiv w:val="1"/>
      <w:marLeft w:val="0"/>
      <w:marRight w:val="0"/>
      <w:marTop w:val="0"/>
      <w:marBottom w:val="0"/>
      <w:divBdr>
        <w:top w:val="none" w:sz="0" w:space="0" w:color="auto"/>
        <w:left w:val="none" w:sz="0" w:space="0" w:color="auto"/>
        <w:bottom w:val="none" w:sz="0" w:space="0" w:color="auto"/>
        <w:right w:val="none" w:sz="0" w:space="0" w:color="auto"/>
      </w:divBdr>
    </w:div>
    <w:div w:id="1207598967">
      <w:bodyDiv w:val="1"/>
      <w:marLeft w:val="0"/>
      <w:marRight w:val="0"/>
      <w:marTop w:val="0"/>
      <w:marBottom w:val="0"/>
      <w:divBdr>
        <w:top w:val="none" w:sz="0" w:space="0" w:color="auto"/>
        <w:left w:val="none" w:sz="0" w:space="0" w:color="auto"/>
        <w:bottom w:val="none" w:sz="0" w:space="0" w:color="auto"/>
        <w:right w:val="none" w:sz="0" w:space="0" w:color="auto"/>
      </w:divBdr>
    </w:div>
    <w:div w:id="1240209561">
      <w:bodyDiv w:val="1"/>
      <w:marLeft w:val="0"/>
      <w:marRight w:val="0"/>
      <w:marTop w:val="0"/>
      <w:marBottom w:val="0"/>
      <w:divBdr>
        <w:top w:val="none" w:sz="0" w:space="0" w:color="auto"/>
        <w:left w:val="none" w:sz="0" w:space="0" w:color="auto"/>
        <w:bottom w:val="none" w:sz="0" w:space="0" w:color="auto"/>
        <w:right w:val="none" w:sz="0" w:space="0" w:color="auto"/>
      </w:divBdr>
    </w:div>
    <w:div w:id="1258634088">
      <w:bodyDiv w:val="1"/>
      <w:marLeft w:val="0"/>
      <w:marRight w:val="0"/>
      <w:marTop w:val="0"/>
      <w:marBottom w:val="0"/>
      <w:divBdr>
        <w:top w:val="none" w:sz="0" w:space="0" w:color="auto"/>
        <w:left w:val="none" w:sz="0" w:space="0" w:color="auto"/>
        <w:bottom w:val="none" w:sz="0" w:space="0" w:color="auto"/>
        <w:right w:val="none" w:sz="0" w:space="0" w:color="auto"/>
      </w:divBdr>
    </w:div>
    <w:div w:id="1263101225">
      <w:bodyDiv w:val="1"/>
      <w:marLeft w:val="0"/>
      <w:marRight w:val="0"/>
      <w:marTop w:val="0"/>
      <w:marBottom w:val="0"/>
      <w:divBdr>
        <w:top w:val="none" w:sz="0" w:space="0" w:color="auto"/>
        <w:left w:val="none" w:sz="0" w:space="0" w:color="auto"/>
        <w:bottom w:val="none" w:sz="0" w:space="0" w:color="auto"/>
        <w:right w:val="none" w:sz="0" w:space="0" w:color="auto"/>
      </w:divBdr>
    </w:div>
    <w:div w:id="1268006546">
      <w:bodyDiv w:val="1"/>
      <w:marLeft w:val="0"/>
      <w:marRight w:val="0"/>
      <w:marTop w:val="0"/>
      <w:marBottom w:val="0"/>
      <w:divBdr>
        <w:top w:val="none" w:sz="0" w:space="0" w:color="auto"/>
        <w:left w:val="none" w:sz="0" w:space="0" w:color="auto"/>
        <w:bottom w:val="none" w:sz="0" w:space="0" w:color="auto"/>
        <w:right w:val="none" w:sz="0" w:space="0" w:color="auto"/>
      </w:divBdr>
    </w:div>
    <w:div w:id="1288051556">
      <w:bodyDiv w:val="1"/>
      <w:marLeft w:val="0"/>
      <w:marRight w:val="0"/>
      <w:marTop w:val="0"/>
      <w:marBottom w:val="0"/>
      <w:divBdr>
        <w:top w:val="none" w:sz="0" w:space="0" w:color="auto"/>
        <w:left w:val="none" w:sz="0" w:space="0" w:color="auto"/>
        <w:bottom w:val="none" w:sz="0" w:space="0" w:color="auto"/>
        <w:right w:val="none" w:sz="0" w:space="0" w:color="auto"/>
      </w:divBdr>
    </w:div>
    <w:div w:id="1322778909">
      <w:bodyDiv w:val="1"/>
      <w:marLeft w:val="0"/>
      <w:marRight w:val="0"/>
      <w:marTop w:val="0"/>
      <w:marBottom w:val="0"/>
      <w:divBdr>
        <w:top w:val="none" w:sz="0" w:space="0" w:color="auto"/>
        <w:left w:val="none" w:sz="0" w:space="0" w:color="auto"/>
        <w:bottom w:val="none" w:sz="0" w:space="0" w:color="auto"/>
        <w:right w:val="none" w:sz="0" w:space="0" w:color="auto"/>
      </w:divBdr>
    </w:div>
    <w:div w:id="1331635395">
      <w:bodyDiv w:val="1"/>
      <w:marLeft w:val="0"/>
      <w:marRight w:val="0"/>
      <w:marTop w:val="0"/>
      <w:marBottom w:val="0"/>
      <w:divBdr>
        <w:top w:val="none" w:sz="0" w:space="0" w:color="auto"/>
        <w:left w:val="none" w:sz="0" w:space="0" w:color="auto"/>
        <w:bottom w:val="none" w:sz="0" w:space="0" w:color="auto"/>
        <w:right w:val="none" w:sz="0" w:space="0" w:color="auto"/>
      </w:divBdr>
    </w:div>
    <w:div w:id="1376462121">
      <w:bodyDiv w:val="1"/>
      <w:marLeft w:val="0"/>
      <w:marRight w:val="0"/>
      <w:marTop w:val="0"/>
      <w:marBottom w:val="0"/>
      <w:divBdr>
        <w:top w:val="none" w:sz="0" w:space="0" w:color="auto"/>
        <w:left w:val="none" w:sz="0" w:space="0" w:color="auto"/>
        <w:bottom w:val="none" w:sz="0" w:space="0" w:color="auto"/>
        <w:right w:val="none" w:sz="0" w:space="0" w:color="auto"/>
      </w:divBdr>
    </w:div>
    <w:div w:id="1389456874">
      <w:bodyDiv w:val="1"/>
      <w:marLeft w:val="0"/>
      <w:marRight w:val="0"/>
      <w:marTop w:val="0"/>
      <w:marBottom w:val="0"/>
      <w:divBdr>
        <w:top w:val="none" w:sz="0" w:space="0" w:color="auto"/>
        <w:left w:val="none" w:sz="0" w:space="0" w:color="auto"/>
        <w:bottom w:val="none" w:sz="0" w:space="0" w:color="auto"/>
        <w:right w:val="none" w:sz="0" w:space="0" w:color="auto"/>
      </w:divBdr>
    </w:div>
    <w:div w:id="1457137816">
      <w:bodyDiv w:val="1"/>
      <w:marLeft w:val="0"/>
      <w:marRight w:val="0"/>
      <w:marTop w:val="0"/>
      <w:marBottom w:val="0"/>
      <w:divBdr>
        <w:top w:val="none" w:sz="0" w:space="0" w:color="auto"/>
        <w:left w:val="none" w:sz="0" w:space="0" w:color="auto"/>
        <w:bottom w:val="none" w:sz="0" w:space="0" w:color="auto"/>
        <w:right w:val="none" w:sz="0" w:space="0" w:color="auto"/>
      </w:divBdr>
    </w:div>
    <w:div w:id="1457987538">
      <w:bodyDiv w:val="1"/>
      <w:marLeft w:val="0"/>
      <w:marRight w:val="0"/>
      <w:marTop w:val="0"/>
      <w:marBottom w:val="0"/>
      <w:divBdr>
        <w:top w:val="none" w:sz="0" w:space="0" w:color="auto"/>
        <w:left w:val="none" w:sz="0" w:space="0" w:color="auto"/>
        <w:bottom w:val="none" w:sz="0" w:space="0" w:color="auto"/>
        <w:right w:val="none" w:sz="0" w:space="0" w:color="auto"/>
      </w:divBdr>
    </w:div>
    <w:div w:id="1478648926">
      <w:bodyDiv w:val="1"/>
      <w:marLeft w:val="0"/>
      <w:marRight w:val="0"/>
      <w:marTop w:val="0"/>
      <w:marBottom w:val="0"/>
      <w:divBdr>
        <w:top w:val="none" w:sz="0" w:space="0" w:color="auto"/>
        <w:left w:val="none" w:sz="0" w:space="0" w:color="auto"/>
        <w:bottom w:val="none" w:sz="0" w:space="0" w:color="auto"/>
        <w:right w:val="none" w:sz="0" w:space="0" w:color="auto"/>
      </w:divBdr>
    </w:div>
    <w:div w:id="1517379892">
      <w:bodyDiv w:val="1"/>
      <w:marLeft w:val="0"/>
      <w:marRight w:val="0"/>
      <w:marTop w:val="0"/>
      <w:marBottom w:val="0"/>
      <w:divBdr>
        <w:top w:val="none" w:sz="0" w:space="0" w:color="auto"/>
        <w:left w:val="none" w:sz="0" w:space="0" w:color="auto"/>
        <w:bottom w:val="none" w:sz="0" w:space="0" w:color="auto"/>
        <w:right w:val="none" w:sz="0" w:space="0" w:color="auto"/>
      </w:divBdr>
    </w:div>
    <w:div w:id="1518426144">
      <w:bodyDiv w:val="1"/>
      <w:marLeft w:val="0"/>
      <w:marRight w:val="0"/>
      <w:marTop w:val="0"/>
      <w:marBottom w:val="0"/>
      <w:divBdr>
        <w:top w:val="none" w:sz="0" w:space="0" w:color="auto"/>
        <w:left w:val="none" w:sz="0" w:space="0" w:color="auto"/>
        <w:bottom w:val="none" w:sz="0" w:space="0" w:color="auto"/>
        <w:right w:val="none" w:sz="0" w:space="0" w:color="auto"/>
      </w:divBdr>
    </w:div>
    <w:div w:id="1527980974">
      <w:bodyDiv w:val="1"/>
      <w:marLeft w:val="0"/>
      <w:marRight w:val="0"/>
      <w:marTop w:val="0"/>
      <w:marBottom w:val="0"/>
      <w:divBdr>
        <w:top w:val="none" w:sz="0" w:space="0" w:color="auto"/>
        <w:left w:val="none" w:sz="0" w:space="0" w:color="auto"/>
        <w:bottom w:val="none" w:sz="0" w:space="0" w:color="auto"/>
        <w:right w:val="none" w:sz="0" w:space="0" w:color="auto"/>
      </w:divBdr>
    </w:div>
    <w:div w:id="1554996762">
      <w:bodyDiv w:val="1"/>
      <w:marLeft w:val="0"/>
      <w:marRight w:val="0"/>
      <w:marTop w:val="0"/>
      <w:marBottom w:val="0"/>
      <w:divBdr>
        <w:top w:val="none" w:sz="0" w:space="0" w:color="auto"/>
        <w:left w:val="none" w:sz="0" w:space="0" w:color="auto"/>
        <w:bottom w:val="none" w:sz="0" w:space="0" w:color="auto"/>
        <w:right w:val="none" w:sz="0" w:space="0" w:color="auto"/>
      </w:divBdr>
      <w:divsChild>
        <w:div w:id="802189520">
          <w:marLeft w:val="720"/>
          <w:marRight w:val="0"/>
          <w:marTop w:val="0"/>
          <w:marBottom w:val="0"/>
          <w:divBdr>
            <w:top w:val="none" w:sz="0" w:space="0" w:color="auto"/>
            <w:left w:val="none" w:sz="0" w:space="0" w:color="auto"/>
            <w:bottom w:val="none" w:sz="0" w:space="0" w:color="auto"/>
            <w:right w:val="none" w:sz="0" w:space="0" w:color="auto"/>
          </w:divBdr>
        </w:div>
        <w:div w:id="2006931968">
          <w:marLeft w:val="1440"/>
          <w:marRight w:val="0"/>
          <w:marTop w:val="0"/>
          <w:marBottom w:val="0"/>
          <w:divBdr>
            <w:top w:val="none" w:sz="0" w:space="0" w:color="auto"/>
            <w:left w:val="none" w:sz="0" w:space="0" w:color="auto"/>
            <w:bottom w:val="none" w:sz="0" w:space="0" w:color="auto"/>
            <w:right w:val="none" w:sz="0" w:space="0" w:color="auto"/>
          </w:divBdr>
        </w:div>
        <w:div w:id="1703439389">
          <w:marLeft w:val="1440"/>
          <w:marRight w:val="0"/>
          <w:marTop w:val="0"/>
          <w:marBottom w:val="0"/>
          <w:divBdr>
            <w:top w:val="none" w:sz="0" w:space="0" w:color="auto"/>
            <w:left w:val="none" w:sz="0" w:space="0" w:color="auto"/>
            <w:bottom w:val="none" w:sz="0" w:space="0" w:color="auto"/>
            <w:right w:val="none" w:sz="0" w:space="0" w:color="auto"/>
          </w:divBdr>
        </w:div>
        <w:div w:id="1108041524">
          <w:marLeft w:val="1440"/>
          <w:marRight w:val="0"/>
          <w:marTop w:val="0"/>
          <w:marBottom w:val="0"/>
          <w:divBdr>
            <w:top w:val="none" w:sz="0" w:space="0" w:color="auto"/>
            <w:left w:val="none" w:sz="0" w:space="0" w:color="auto"/>
            <w:bottom w:val="none" w:sz="0" w:space="0" w:color="auto"/>
            <w:right w:val="none" w:sz="0" w:space="0" w:color="auto"/>
          </w:divBdr>
        </w:div>
        <w:div w:id="1701710217">
          <w:marLeft w:val="1440"/>
          <w:marRight w:val="0"/>
          <w:marTop w:val="0"/>
          <w:marBottom w:val="0"/>
          <w:divBdr>
            <w:top w:val="none" w:sz="0" w:space="0" w:color="auto"/>
            <w:left w:val="none" w:sz="0" w:space="0" w:color="auto"/>
            <w:bottom w:val="none" w:sz="0" w:space="0" w:color="auto"/>
            <w:right w:val="none" w:sz="0" w:space="0" w:color="auto"/>
          </w:divBdr>
        </w:div>
      </w:divsChild>
    </w:div>
    <w:div w:id="1556165448">
      <w:bodyDiv w:val="1"/>
      <w:marLeft w:val="0"/>
      <w:marRight w:val="0"/>
      <w:marTop w:val="0"/>
      <w:marBottom w:val="0"/>
      <w:divBdr>
        <w:top w:val="none" w:sz="0" w:space="0" w:color="auto"/>
        <w:left w:val="none" w:sz="0" w:space="0" w:color="auto"/>
        <w:bottom w:val="none" w:sz="0" w:space="0" w:color="auto"/>
        <w:right w:val="none" w:sz="0" w:space="0" w:color="auto"/>
      </w:divBdr>
      <w:divsChild>
        <w:div w:id="530190054">
          <w:marLeft w:val="1166"/>
          <w:marRight w:val="0"/>
          <w:marTop w:val="0"/>
          <w:marBottom w:val="0"/>
          <w:divBdr>
            <w:top w:val="none" w:sz="0" w:space="0" w:color="auto"/>
            <w:left w:val="none" w:sz="0" w:space="0" w:color="auto"/>
            <w:bottom w:val="none" w:sz="0" w:space="0" w:color="auto"/>
            <w:right w:val="none" w:sz="0" w:space="0" w:color="auto"/>
          </w:divBdr>
        </w:div>
        <w:div w:id="140119141">
          <w:marLeft w:val="1166"/>
          <w:marRight w:val="0"/>
          <w:marTop w:val="0"/>
          <w:marBottom w:val="0"/>
          <w:divBdr>
            <w:top w:val="none" w:sz="0" w:space="0" w:color="auto"/>
            <w:left w:val="none" w:sz="0" w:space="0" w:color="auto"/>
            <w:bottom w:val="none" w:sz="0" w:space="0" w:color="auto"/>
            <w:right w:val="none" w:sz="0" w:space="0" w:color="auto"/>
          </w:divBdr>
        </w:div>
        <w:div w:id="1979920966">
          <w:marLeft w:val="1166"/>
          <w:marRight w:val="0"/>
          <w:marTop w:val="0"/>
          <w:marBottom w:val="0"/>
          <w:divBdr>
            <w:top w:val="none" w:sz="0" w:space="0" w:color="auto"/>
            <w:left w:val="none" w:sz="0" w:space="0" w:color="auto"/>
            <w:bottom w:val="none" w:sz="0" w:space="0" w:color="auto"/>
            <w:right w:val="none" w:sz="0" w:space="0" w:color="auto"/>
          </w:divBdr>
        </w:div>
        <w:div w:id="1494101062">
          <w:marLeft w:val="1166"/>
          <w:marRight w:val="0"/>
          <w:marTop w:val="0"/>
          <w:marBottom w:val="0"/>
          <w:divBdr>
            <w:top w:val="none" w:sz="0" w:space="0" w:color="auto"/>
            <w:left w:val="none" w:sz="0" w:space="0" w:color="auto"/>
            <w:bottom w:val="none" w:sz="0" w:space="0" w:color="auto"/>
            <w:right w:val="none" w:sz="0" w:space="0" w:color="auto"/>
          </w:divBdr>
        </w:div>
        <w:div w:id="141195034">
          <w:marLeft w:val="1166"/>
          <w:marRight w:val="0"/>
          <w:marTop w:val="0"/>
          <w:marBottom w:val="0"/>
          <w:divBdr>
            <w:top w:val="none" w:sz="0" w:space="0" w:color="auto"/>
            <w:left w:val="none" w:sz="0" w:space="0" w:color="auto"/>
            <w:bottom w:val="none" w:sz="0" w:space="0" w:color="auto"/>
            <w:right w:val="none" w:sz="0" w:space="0" w:color="auto"/>
          </w:divBdr>
        </w:div>
      </w:divsChild>
    </w:div>
    <w:div w:id="1577205243">
      <w:bodyDiv w:val="1"/>
      <w:marLeft w:val="0"/>
      <w:marRight w:val="0"/>
      <w:marTop w:val="0"/>
      <w:marBottom w:val="0"/>
      <w:divBdr>
        <w:top w:val="none" w:sz="0" w:space="0" w:color="auto"/>
        <w:left w:val="none" w:sz="0" w:space="0" w:color="auto"/>
        <w:bottom w:val="none" w:sz="0" w:space="0" w:color="auto"/>
        <w:right w:val="none" w:sz="0" w:space="0" w:color="auto"/>
      </w:divBdr>
      <w:divsChild>
        <w:div w:id="1386761146">
          <w:marLeft w:val="360"/>
          <w:marRight w:val="0"/>
          <w:marTop w:val="200"/>
          <w:marBottom w:val="0"/>
          <w:divBdr>
            <w:top w:val="none" w:sz="0" w:space="0" w:color="auto"/>
            <w:left w:val="none" w:sz="0" w:space="0" w:color="auto"/>
            <w:bottom w:val="none" w:sz="0" w:space="0" w:color="auto"/>
            <w:right w:val="none" w:sz="0" w:space="0" w:color="auto"/>
          </w:divBdr>
        </w:div>
        <w:div w:id="1546408483">
          <w:marLeft w:val="1080"/>
          <w:marRight w:val="0"/>
          <w:marTop w:val="100"/>
          <w:marBottom w:val="0"/>
          <w:divBdr>
            <w:top w:val="none" w:sz="0" w:space="0" w:color="auto"/>
            <w:left w:val="none" w:sz="0" w:space="0" w:color="auto"/>
            <w:bottom w:val="none" w:sz="0" w:space="0" w:color="auto"/>
            <w:right w:val="none" w:sz="0" w:space="0" w:color="auto"/>
          </w:divBdr>
        </w:div>
        <w:div w:id="569508412">
          <w:marLeft w:val="1080"/>
          <w:marRight w:val="0"/>
          <w:marTop w:val="100"/>
          <w:marBottom w:val="0"/>
          <w:divBdr>
            <w:top w:val="none" w:sz="0" w:space="0" w:color="auto"/>
            <w:left w:val="none" w:sz="0" w:space="0" w:color="auto"/>
            <w:bottom w:val="none" w:sz="0" w:space="0" w:color="auto"/>
            <w:right w:val="none" w:sz="0" w:space="0" w:color="auto"/>
          </w:divBdr>
        </w:div>
        <w:div w:id="2003435792">
          <w:marLeft w:val="360"/>
          <w:marRight w:val="0"/>
          <w:marTop w:val="200"/>
          <w:marBottom w:val="0"/>
          <w:divBdr>
            <w:top w:val="none" w:sz="0" w:space="0" w:color="auto"/>
            <w:left w:val="none" w:sz="0" w:space="0" w:color="auto"/>
            <w:bottom w:val="none" w:sz="0" w:space="0" w:color="auto"/>
            <w:right w:val="none" w:sz="0" w:space="0" w:color="auto"/>
          </w:divBdr>
        </w:div>
        <w:div w:id="1598560493">
          <w:marLeft w:val="1080"/>
          <w:marRight w:val="0"/>
          <w:marTop w:val="100"/>
          <w:marBottom w:val="0"/>
          <w:divBdr>
            <w:top w:val="none" w:sz="0" w:space="0" w:color="auto"/>
            <w:left w:val="none" w:sz="0" w:space="0" w:color="auto"/>
            <w:bottom w:val="none" w:sz="0" w:space="0" w:color="auto"/>
            <w:right w:val="none" w:sz="0" w:space="0" w:color="auto"/>
          </w:divBdr>
        </w:div>
        <w:div w:id="1553810300">
          <w:marLeft w:val="1080"/>
          <w:marRight w:val="0"/>
          <w:marTop w:val="100"/>
          <w:marBottom w:val="0"/>
          <w:divBdr>
            <w:top w:val="none" w:sz="0" w:space="0" w:color="auto"/>
            <w:left w:val="none" w:sz="0" w:space="0" w:color="auto"/>
            <w:bottom w:val="none" w:sz="0" w:space="0" w:color="auto"/>
            <w:right w:val="none" w:sz="0" w:space="0" w:color="auto"/>
          </w:divBdr>
        </w:div>
        <w:div w:id="1235702701">
          <w:marLeft w:val="1080"/>
          <w:marRight w:val="0"/>
          <w:marTop w:val="100"/>
          <w:marBottom w:val="0"/>
          <w:divBdr>
            <w:top w:val="none" w:sz="0" w:space="0" w:color="auto"/>
            <w:left w:val="none" w:sz="0" w:space="0" w:color="auto"/>
            <w:bottom w:val="none" w:sz="0" w:space="0" w:color="auto"/>
            <w:right w:val="none" w:sz="0" w:space="0" w:color="auto"/>
          </w:divBdr>
        </w:div>
        <w:div w:id="1508327821">
          <w:marLeft w:val="1080"/>
          <w:marRight w:val="0"/>
          <w:marTop w:val="100"/>
          <w:marBottom w:val="0"/>
          <w:divBdr>
            <w:top w:val="none" w:sz="0" w:space="0" w:color="auto"/>
            <w:left w:val="none" w:sz="0" w:space="0" w:color="auto"/>
            <w:bottom w:val="none" w:sz="0" w:space="0" w:color="auto"/>
            <w:right w:val="none" w:sz="0" w:space="0" w:color="auto"/>
          </w:divBdr>
        </w:div>
      </w:divsChild>
    </w:div>
    <w:div w:id="1580942126">
      <w:bodyDiv w:val="1"/>
      <w:marLeft w:val="0"/>
      <w:marRight w:val="0"/>
      <w:marTop w:val="0"/>
      <w:marBottom w:val="0"/>
      <w:divBdr>
        <w:top w:val="none" w:sz="0" w:space="0" w:color="auto"/>
        <w:left w:val="none" w:sz="0" w:space="0" w:color="auto"/>
        <w:bottom w:val="none" w:sz="0" w:space="0" w:color="auto"/>
        <w:right w:val="none" w:sz="0" w:space="0" w:color="auto"/>
      </w:divBdr>
    </w:div>
    <w:div w:id="1611280234">
      <w:bodyDiv w:val="1"/>
      <w:marLeft w:val="0"/>
      <w:marRight w:val="0"/>
      <w:marTop w:val="0"/>
      <w:marBottom w:val="0"/>
      <w:divBdr>
        <w:top w:val="none" w:sz="0" w:space="0" w:color="auto"/>
        <w:left w:val="none" w:sz="0" w:space="0" w:color="auto"/>
        <w:bottom w:val="none" w:sz="0" w:space="0" w:color="auto"/>
        <w:right w:val="none" w:sz="0" w:space="0" w:color="auto"/>
      </w:divBdr>
    </w:div>
    <w:div w:id="1611859989">
      <w:bodyDiv w:val="1"/>
      <w:marLeft w:val="0"/>
      <w:marRight w:val="0"/>
      <w:marTop w:val="0"/>
      <w:marBottom w:val="0"/>
      <w:divBdr>
        <w:top w:val="none" w:sz="0" w:space="0" w:color="auto"/>
        <w:left w:val="none" w:sz="0" w:space="0" w:color="auto"/>
        <w:bottom w:val="none" w:sz="0" w:space="0" w:color="auto"/>
        <w:right w:val="none" w:sz="0" w:space="0" w:color="auto"/>
      </w:divBdr>
    </w:div>
    <w:div w:id="1633751993">
      <w:bodyDiv w:val="1"/>
      <w:marLeft w:val="0"/>
      <w:marRight w:val="0"/>
      <w:marTop w:val="0"/>
      <w:marBottom w:val="0"/>
      <w:divBdr>
        <w:top w:val="none" w:sz="0" w:space="0" w:color="auto"/>
        <w:left w:val="none" w:sz="0" w:space="0" w:color="auto"/>
        <w:bottom w:val="none" w:sz="0" w:space="0" w:color="auto"/>
        <w:right w:val="none" w:sz="0" w:space="0" w:color="auto"/>
      </w:divBdr>
    </w:div>
    <w:div w:id="1641421187">
      <w:bodyDiv w:val="1"/>
      <w:marLeft w:val="0"/>
      <w:marRight w:val="0"/>
      <w:marTop w:val="0"/>
      <w:marBottom w:val="0"/>
      <w:divBdr>
        <w:top w:val="none" w:sz="0" w:space="0" w:color="auto"/>
        <w:left w:val="none" w:sz="0" w:space="0" w:color="auto"/>
        <w:bottom w:val="none" w:sz="0" w:space="0" w:color="auto"/>
        <w:right w:val="none" w:sz="0" w:space="0" w:color="auto"/>
      </w:divBdr>
    </w:div>
    <w:div w:id="1664504881">
      <w:bodyDiv w:val="1"/>
      <w:marLeft w:val="0"/>
      <w:marRight w:val="0"/>
      <w:marTop w:val="0"/>
      <w:marBottom w:val="0"/>
      <w:divBdr>
        <w:top w:val="none" w:sz="0" w:space="0" w:color="auto"/>
        <w:left w:val="none" w:sz="0" w:space="0" w:color="auto"/>
        <w:bottom w:val="none" w:sz="0" w:space="0" w:color="auto"/>
        <w:right w:val="none" w:sz="0" w:space="0" w:color="auto"/>
      </w:divBdr>
    </w:div>
    <w:div w:id="1680112942">
      <w:bodyDiv w:val="1"/>
      <w:marLeft w:val="0"/>
      <w:marRight w:val="0"/>
      <w:marTop w:val="0"/>
      <w:marBottom w:val="0"/>
      <w:divBdr>
        <w:top w:val="none" w:sz="0" w:space="0" w:color="auto"/>
        <w:left w:val="none" w:sz="0" w:space="0" w:color="auto"/>
        <w:bottom w:val="none" w:sz="0" w:space="0" w:color="auto"/>
        <w:right w:val="none" w:sz="0" w:space="0" w:color="auto"/>
      </w:divBdr>
    </w:div>
    <w:div w:id="1682121849">
      <w:bodyDiv w:val="1"/>
      <w:marLeft w:val="0"/>
      <w:marRight w:val="0"/>
      <w:marTop w:val="0"/>
      <w:marBottom w:val="0"/>
      <w:divBdr>
        <w:top w:val="none" w:sz="0" w:space="0" w:color="auto"/>
        <w:left w:val="none" w:sz="0" w:space="0" w:color="auto"/>
        <w:bottom w:val="none" w:sz="0" w:space="0" w:color="auto"/>
        <w:right w:val="none" w:sz="0" w:space="0" w:color="auto"/>
      </w:divBdr>
    </w:div>
    <w:div w:id="1693871815">
      <w:bodyDiv w:val="1"/>
      <w:marLeft w:val="0"/>
      <w:marRight w:val="0"/>
      <w:marTop w:val="0"/>
      <w:marBottom w:val="0"/>
      <w:divBdr>
        <w:top w:val="none" w:sz="0" w:space="0" w:color="auto"/>
        <w:left w:val="none" w:sz="0" w:space="0" w:color="auto"/>
        <w:bottom w:val="none" w:sz="0" w:space="0" w:color="auto"/>
        <w:right w:val="none" w:sz="0" w:space="0" w:color="auto"/>
      </w:divBdr>
    </w:div>
    <w:div w:id="1696466480">
      <w:bodyDiv w:val="1"/>
      <w:marLeft w:val="0"/>
      <w:marRight w:val="0"/>
      <w:marTop w:val="0"/>
      <w:marBottom w:val="0"/>
      <w:divBdr>
        <w:top w:val="none" w:sz="0" w:space="0" w:color="auto"/>
        <w:left w:val="none" w:sz="0" w:space="0" w:color="auto"/>
        <w:bottom w:val="none" w:sz="0" w:space="0" w:color="auto"/>
        <w:right w:val="none" w:sz="0" w:space="0" w:color="auto"/>
      </w:divBdr>
      <w:divsChild>
        <w:div w:id="1119571259">
          <w:marLeft w:val="0"/>
          <w:marRight w:val="0"/>
          <w:marTop w:val="0"/>
          <w:marBottom w:val="0"/>
          <w:divBdr>
            <w:top w:val="none" w:sz="0" w:space="0" w:color="auto"/>
            <w:left w:val="none" w:sz="0" w:space="0" w:color="auto"/>
            <w:bottom w:val="none" w:sz="0" w:space="0" w:color="auto"/>
            <w:right w:val="none" w:sz="0" w:space="0" w:color="auto"/>
          </w:divBdr>
        </w:div>
        <w:div w:id="1667634330">
          <w:marLeft w:val="0"/>
          <w:marRight w:val="0"/>
          <w:marTop w:val="0"/>
          <w:marBottom w:val="0"/>
          <w:divBdr>
            <w:top w:val="none" w:sz="0" w:space="0" w:color="auto"/>
            <w:left w:val="none" w:sz="0" w:space="0" w:color="auto"/>
            <w:bottom w:val="none" w:sz="0" w:space="0" w:color="auto"/>
            <w:right w:val="none" w:sz="0" w:space="0" w:color="auto"/>
          </w:divBdr>
        </w:div>
        <w:div w:id="1582641762">
          <w:marLeft w:val="0"/>
          <w:marRight w:val="0"/>
          <w:marTop w:val="0"/>
          <w:marBottom w:val="0"/>
          <w:divBdr>
            <w:top w:val="none" w:sz="0" w:space="0" w:color="auto"/>
            <w:left w:val="none" w:sz="0" w:space="0" w:color="auto"/>
            <w:bottom w:val="none" w:sz="0" w:space="0" w:color="auto"/>
            <w:right w:val="none" w:sz="0" w:space="0" w:color="auto"/>
          </w:divBdr>
        </w:div>
        <w:div w:id="2049179697">
          <w:marLeft w:val="0"/>
          <w:marRight w:val="0"/>
          <w:marTop w:val="0"/>
          <w:marBottom w:val="0"/>
          <w:divBdr>
            <w:top w:val="none" w:sz="0" w:space="0" w:color="auto"/>
            <w:left w:val="none" w:sz="0" w:space="0" w:color="auto"/>
            <w:bottom w:val="none" w:sz="0" w:space="0" w:color="auto"/>
            <w:right w:val="none" w:sz="0" w:space="0" w:color="auto"/>
          </w:divBdr>
        </w:div>
      </w:divsChild>
    </w:div>
    <w:div w:id="1707409512">
      <w:bodyDiv w:val="1"/>
      <w:marLeft w:val="0"/>
      <w:marRight w:val="0"/>
      <w:marTop w:val="0"/>
      <w:marBottom w:val="0"/>
      <w:divBdr>
        <w:top w:val="none" w:sz="0" w:space="0" w:color="auto"/>
        <w:left w:val="none" w:sz="0" w:space="0" w:color="auto"/>
        <w:bottom w:val="none" w:sz="0" w:space="0" w:color="auto"/>
        <w:right w:val="none" w:sz="0" w:space="0" w:color="auto"/>
      </w:divBdr>
    </w:div>
    <w:div w:id="1737314635">
      <w:bodyDiv w:val="1"/>
      <w:marLeft w:val="0"/>
      <w:marRight w:val="0"/>
      <w:marTop w:val="0"/>
      <w:marBottom w:val="0"/>
      <w:divBdr>
        <w:top w:val="none" w:sz="0" w:space="0" w:color="auto"/>
        <w:left w:val="none" w:sz="0" w:space="0" w:color="auto"/>
        <w:bottom w:val="none" w:sz="0" w:space="0" w:color="auto"/>
        <w:right w:val="none" w:sz="0" w:space="0" w:color="auto"/>
      </w:divBdr>
    </w:div>
    <w:div w:id="1761639161">
      <w:bodyDiv w:val="1"/>
      <w:marLeft w:val="0"/>
      <w:marRight w:val="0"/>
      <w:marTop w:val="0"/>
      <w:marBottom w:val="0"/>
      <w:divBdr>
        <w:top w:val="none" w:sz="0" w:space="0" w:color="auto"/>
        <w:left w:val="none" w:sz="0" w:space="0" w:color="auto"/>
        <w:bottom w:val="none" w:sz="0" w:space="0" w:color="auto"/>
        <w:right w:val="none" w:sz="0" w:space="0" w:color="auto"/>
      </w:divBdr>
    </w:div>
    <w:div w:id="1789082481">
      <w:bodyDiv w:val="1"/>
      <w:marLeft w:val="0"/>
      <w:marRight w:val="0"/>
      <w:marTop w:val="0"/>
      <w:marBottom w:val="0"/>
      <w:divBdr>
        <w:top w:val="none" w:sz="0" w:space="0" w:color="auto"/>
        <w:left w:val="none" w:sz="0" w:space="0" w:color="auto"/>
        <w:bottom w:val="none" w:sz="0" w:space="0" w:color="auto"/>
        <w:right w:val="none" w:sz="0" w:space="0" w:color="auto"/>
      </w:divBdr>
    </w:div>
    <w:div w:id="1809738864">
      <w:bodyDiv w:val="1"/>
      <w:marLeft w:val="0"/>
      <w:marRight w:val="0"/>
      <w:marTop w:val="0"/>
      <w:marBottom w:val="0"/>
      <w:divBdr>
        <w:top w:val="none" w:sz="0" w:space="0" w:color="auto"/>
        <w:left w:val="none" w:sz="0" w:space="0" w:color="auto"/>
        <w:bottom w:val="none" w:sz="0" w:space="0" w:color="auto"/>
        <w:right w:val="none" w:sz="0" w:space="0" w:color="auto"/>
      </w:divBdr>
      <w:divsChild>
        <w:div w:id="1143884483">
          <w:marLeft w:val="1080"/>
          <w:marRight w:val="0"/>
          <w:marTop w:val="100"/>
          <w:marBottom w:val="0"/>
          <w:divBdr>
            <w:top w:val="none" w:sz="0" w:space="0" w:color="auto"/>
            <w:left w:val="none" w:sz="0" w:space="0" w:color="auto"/>
            <w:bottom w:val="none" w:sz="0" w:space="0" w:color="auto"/>
            <w:right w:val="none" w:sz="0" w:space="0" w:color="auto"/>
          </w:divBdr>
        </w:div>
        <w:div w:id="1837500423">
          <w:marLeft w:val="1080"/>
          <w:marRight w:val="0"/>
          <w:marTop w:val="100"/>
          <w:marBottom w:val="0"/>
          <w:divBdr>
            <w:top w:val="none" w:sz="0" w:space="0" w:color="auto"/>
            <w:left w:val="none" w:sz="0" w:space="0" w:color="auto"/>
            <w:bottom w:val="none" w:sz="0" w:space="0" w:color="auto"/>
            <w:right w:val="none" w:sz="0" w:space="0" w:color="auto"/>
          </w:divBdr>
        </w:div>
      </w:divsChild>
    </w:div>
    <w:div w:id="1849447162">
      <w:bodyDiv w:val="1"/>
      <w:marLeft w:val="0"/>
      <w:marRight w:val="0"/>
      <w:marTop w:val="0"/>
      <w:marBottom w:val="0"/>
      <w:divBdr>
        <w:top w:val="none" w:sz="0" w:space="0" w:color="auto"/>
        <w:left w:val="none" w:sz="0" w:space="0" w:color="auto"/>
        <w:bottom w:val="none" w:sz="0" w:space="0" w:color="auto"/>
        <w:right w:val="none" w:sz="0" w:space="0" w:color="auto"/>
      </w:divBdr>
    </w:div>
    <w:div w:id="1855915647">
      <w:bodyDiv w:val="1"/>
      <w:marLeft w:val="0"/>
      <w:marRight w:val="0"/>
      <w:marTop w:val="0"/>
      <w:marBottom w:val="0"/>
      <w:divBdr>
        <w:top w:val="none" w:sz="0" w:space="0" w:color="auto"/>
        <w:left w:val="none" w:sz="0" w:space="0" w:color="auto"/>
        <w:bottom w:val="none" w:sz="0" w:space="0" w:color="auto"/>
        <w:right w:val="none" w:sz="0" w:space="0" w:color="auto"/>
      </w:divBdr>
      <w:divsChild>
        <w:div w:id="1354066771">
          <w:marLeft w:val="547"/>
          <w:marRight w:val="0"/>
          <w:marTop w:val="0"/>
          <w:marBottom w:val="0"/>
          <w:divBdr>
            <w:top w:val="none" w:sz="0" w:space="0" w:color="auto"/>
            <w:left w:val="none" w:sz="0" w:space="0" w:color="auto"/>
            <w:bottom w:val="none" w:sz="0" w:space="0" w:color="auto"/>
            <w:right w:val="none" w:sz="0" w:space="0" w:color="auto"/>
          </w:divBdr>
        </w:div>
      </w:divsChild>
    </w:div>
    <w:div w:id="1875574890">
      <w:bodyDiv w:val="1"/>
      <w:marLeft w:val="0"/>
      <w:marRight w:val="0"/>
      <w:marTop w:val="0"/>
      <w:marBottom w:val="0"/>
      <w:divBdr>
        <w:top w:val="none" w:sz="0" w:space="0" w:color="auto"/>
        <w:left w:val="none" w:sz="0" w:space="0" w:color="auto"/>
        <w:bottom w:val="none" w:sz="0" w:space="0" w:color="auto"/>
        <w:right w:val="none" w:sz="0" w:space="0" w:color="auto"/>
      </w:divBdr>
    </w:div>
    <w:div w:id="1883402284">
      <w:bodyDiv w:val="1"/>
      <w:marLeft w:val="0"/>
      <w:marRight w:val="0"/>
      <w:marTop w:val="0"/>
      <w:marBottom w:val="0"/>
      <w:divBdr>
        <w:top w:val="none" w:sz="0" w:space="0" w:color="auto"/>
        <w:left w:val="none" w:sz="0" w:space="0" w:color="auto"/>
        <w:bottom w:val="none" w:sz="0" w:space="0" w:color="auto"/>
        <w:right w:val="none" w:sz="0" w:space="0" w:color="auto"/>
      </w:divBdr>
    </w:div>
    <w:div w:id="1886528639">
      <w:bodyDiv w:val="1"/>
      <w:marLeft w:val="0"/>
      <w:marRight w:val="0"/>
      <w:marTop w:val="0"/>
      <w:marBottom w:val="0"/>
      <w:divBdr>
        <w:top w:val="none" w:sz="0" w:space="0" w:color="auto"/>
        <w:left w:val="none" w:sz="0" w:space="0" w:color="auto"/>
        <w:bottom w:val="none" w:sz="0" w:space="0" w:color="auto"/>
        <w:right w:val="none" w:sz="0" w:space="0" w:color="auto"/>
      </w:divBdr>
    </w:div>
    <w:div w:id="1890721175">
      <w:bodyDiv w:val="1"/>
      <w:marLeft w:val="0"/>
      <w:marRight w:val="0"/>
      <w:marTop w:val="0"/>
      <w:marBottom w:val="0"/>
      <w:divBdr>
        <w:top w:val="none" w:sz="0" w:space="0" w:color="auto"/>
        <w:left w:val="none" w:sz="0" w:space="0" w:color="auto"/>
        <w:bottom w:val="none" w:sz="0" w:space="0" w:color="auto"/>
        <w:right w:val="none" w:sz="0" w:space="0" w:color="auto"/>
      </w:divBdr>
    </w:div>
    <w:div w:id="1904364731">
      <w:bodyDiv w:val="1"/>
      <w:marLeft w:val="0"/>
      <w:marRight w:val="0"/>
      <w:marTop w:val="0"/>
      <w:marBottom w:val="0"/>
      <w:divBdr>
        <w:top w:val="none" w:sz="0" w:space="0" w:color="auto"/>
        <w:left w:val="none" w:sz="0" w:space="0" w:color="auto"/>
        <w:bottom w:val="none" w:sz="0" w:space="0" w:color="auto"/>
        <w:right w:val="none" w:sz="0" w:space="0" w:color="auto"/>
      </w:divBdr>
    </w:div>
    <w:div w:id="1973319674">
      <w:bodyDiv w:val="1"/>
      <w:marLeft w:val="0"/>
      <w:marRight w:val="0"/>
      <w:marTop w:val="0"/>
      <w:marBottom w:val="0"/>
      <w:divBdr>
        <w:top w:val="none" w:sz="0" w:space="0" w:color="auto"/>
        <w:left w:val="none" w:sz="0" w:space="0" w:color="auto"/>
        <w:bottom w:val="none" w:sz="0" w:space="0" w:color="auto"/>
        <w:right w:val="none" w:sz="0" w:space="0" w:color="auto"/>
      </w:divBdr>
    </w:div>
    <w:div w:id="2001343189">
      <w:bodyDiv w:val="1"/>
      <w:marLeft w:val="0"/>
      <w:marRight w:val="0"/>
      <w:marTop w:val="0"/>
      <w:marBottom w:val="0"/>
      <w:divBdr>
        <w:top w:val="none" w:sz="0" w:space="0" w:color="auto"/>
        <w:left w:val="none" w:sz="0" w:space="0" w:color="auto"/>
        <w:bottom w:val="none" w:sz="0" w:space="0" w:color="auto"/>
        <w:right w:val="none" w:sz="0" w:space="0" w:color="auto"/>
      </w:divBdr>
    </w:div>
    <w:div w:id="2055958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image" Target="media/image9.emf"/><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emf"/><Relationship Id="rId25" Type="http://schemas.openxmlformats.org/officeDocument/2006/relationships/image" Target="media/image13.png"/><Relationship Id="rId26" Type="http://schemas.openxmlformats.org/officeDocument/2006/relationships/hyperlink" Target="https://research.tue.nl/en/studentTheses/fault-tolerance-in-embedded-real-time-multicore-systems-for-dataf" TargetMode="External"/><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microsoft.com/office/2011/relationships/people" Target="people.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jpeg"/><Relationship Id="rId13" Type="http://schemas.openxmlformats.org/officeDocument/2006/relationships/image" Target="media/image2.png"/><Relationship Id="rId14" Type="http://schemas.openxmlformats.org/officeDocument/2006/relationships/image" Target="media/image3.emf"/><Relationship Id="rId15" Type="http://schemas.openxmlformats.org/officeDocument/2006/relationships/image" Target="media/image4.emf"/><Relationship Id="rId16" Type="http://schemas.openxmlformats.org/officeDocument/2006/relationships/image" Target="media/image5.png"/><Relationship Id="rId17" Type="http://schemas.openxmlformats.org/officeDocument/2006/relationships/image" Target="media/image6.jpg"/><Relationship Id="rId18" Type="http://schemas.openxmlformats.org/officeDocument/2006/relationships/hyperlink" Target="https://www.lucidchart.com/documents/edit/e8e8d3a8-04dc-4c02-8110-9c1679542a0e/0?callback=close&amp;name=docs&amp;callback_type=back&amp;v=1135&amp;s=594" TargetMode="External"/><Relationship Id="rId19"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footer2.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turzel\Documents\EADS\Documents\ITEA\templates\ITEA%203%20Word%20template.dotx" TargetMode="External"/></Relationships>
</file>

<file path=word/theme/theme1.xml><?xml version="1.0" encoding="utf-8"?>
<a:theme xmlns:a="http://schemas.openxmlformats.org/drawingml/2006/main" name="Office Theme">
  <a:themeElements>
    <a:clrScheme name="ITEA Office">
      <a:dk1>
        <a:sysClr val="windowText" lastClr="000000"/>
      </a:dk1>
      <a:lt1>
        <a:sysClr val="window" lastClr="FFFFFF"/>
      </a:lt1>
      <a:dk2>
        <a:srgbClr val="F36F21"/>
      </a:dk2>
      <a:lt2>
        <a:srgbClr val="EEECE1"/>
      </a:lt2>
      <a:accent1>
        <a:srgbClr val="00A651"/>
      </a:accent1>
      <a:accent2>
        <a:srgbClr val="7F7F7F"/>
      </a:accent2>
      <a:accent3>
        <a:srgbClr val="F36F21"/>
      </a:accent3>
      <a:accent4>
        <a:srgbClr val="FBDC57"/>
      </a:accent4>
      <a:accent5>
        <a:srgbClr val="73C052"/>
      </a:accent5>
      <a:accent6>
        <a:srgbClr val="2484C6"/>
      </a:accent6>
      <a:hlink>
        <a:srgbClr val="00A651"/>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EF311B84F0A424580F33CF536728EAA" ma:contentTypeVersion="0" ma:contentTypeDescription="Create a new document." ma:contentTypeScope="" ma:versionID="4b29df940f9fc4d7e1922c8743502677">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CHA12</b:Tag>
    <b:SourceType>InternetSite</b:SourceType>
    <b:Guid>{43BD6358-9837-4E7A-8853-1B6BEDC02321}</b:Guid>
    <b:Title>Managing projects, Elaborating a Dissemination Plan</b:Title>
    <b:Year>2012</b:Year>
    <b:Month>January</b:Month>
    <b:Day>30</b:Day>
    <b:URL>http://ec.europa.eu/chafea/management/Fact_sheet_2010_06.html</b:URL>
    <b:Author>
      <b:Author>
        <b:NameList>
          <b:Person>
            <b:Last>CHAFEA</b:Last>
            <b:First>EU</b:First>
            <b:Middle>Comission</b:Middle>
          </b:Person>
        </b:NameList>
      </b:Author>
    </b:Author>
    <b:RefOrder>7</b:RefOrder>
  </b:Source>
  <b:Source>
    <b:Tag>ASS15</b:Tag>
    <b:SourceType>Report</b:SourceType>
    <b:Guid>{29BAA2D3-D19B-4287-BCFC-05608BB1697C}</b:Guid>
    <b:Title>Full Project Proposal Annex</b:Title>
    <b:Year>2015</b:Year>
    <b:Publisher>ASSUME</b:Publisher>
    <b:Author>
      <b:Author>
        <b:NameList>
          <b:Person>
            <b:Last>ASSUME Project Team</b:Last>
          </b:Person>
        </b:NameList>
      </b:Author>
    </b:Author>
    <b:RefOrder>8</b:RefOrder>
  </b:Source>
  <b:Source>
    <b:Tag>Tas</b:Tag>
    <b:SourceType>ConferenceProceedings</b:SourceType>
    <b:Guid>{50462CD9-CF6B-4FED-A191-A64485A4FE91}</b:Guid>
    <b:LCID>uz-Cyrl-UZ</b:LCID>
    <b:Author>
      <b:Author>
        <b:NameList>
          <b:Person>
            <b:Last>Qadeer</b:Last>
            <b:First>Shaz</b:First>
          </b:Person>
          <b:Person>
            <b:Last>Tasiran</b:Last>
            <b:First>Serdar</b:First>
          </b:Person>
          <b:Person>
            <b:Last>Hawblitzel</b:Last>
            <b:First>Chris</b:First>
          </b:Person>
        </b:NameList>
      </b:Author>
    </b:Author>
    <b:Title>Automated and modular refinement reasoning for concurrent programs</b:Title>
    <b:Pages>449-465</b:Pages>
    <b:Year>2015</b:Year>
    <b:ConferenceName>International Conference on Computer Aided Verification</b:ConferenceName>
    <b:Publisher>Springer International Publishing</b:Publisher>
    <b:RefOrder>6</b:RefOrder>
  </b:Source>
  <b:Source>
    <b:Tag>Mut16</b:Tag>
    <b:SourceType>ConferenceProceedings</b:SourceType>
    <b:Guid>{BB47D57B-EE66-4219-9F86-32344A0CCAAE}</b:Guid>
    <b:LCID>uz-Cyrl-UZ</b:LCID>
    <b:Author>
      <b:Author>
        <b:NameList>
          <b:Person>
            <b:Last>Mutluergil</b:Last>
            <b:First>Suha</b:First>
            <b:Middle>Orhun</b:Middle>
          </b:Person>
          <b:Person>
            <b:Last>Tasiran</b:Last>
            <b:First>Serdar</b:First>
          </b:Person>
        </b:NameList>
      </b:Author>
    </b:Author>
    <b:Title>A Mechanized Refinement Proof of the Chase-Lev Deque Using a Proof System</b:Title>
    <b:Pages>280-294</b:Pages>
    <b:Year>2016</b:Year>
    <b:ConferenceName>International Conference on Networked Systems</b:ConferenceName>
    <b:Publisher>Springer International Publishing</b:Publisher>
    <b:RefOrder>9</b:RefOrder>
  </b:Source>
  <b:Source>
    <b:Tag>Les79</b:Tag>
    <b:SourceType>JournalArticle</b:SourceType>
    <b:Guid>{DC5DD40F-41B2-4AA5-A2C5-E598178DF511}</b:Guid>
    <b:Author>
      <b:Author>
        <b:NameList>
          <b:Person>
            <b:Last>Lamport</b:Last>
            <b:First>Leslie</b:First>
          </b:Person>
        </b:NameList>
      </b:Author>
    </b:Author>
    <b:Title>How to make a multiprocessor computer that correctly executes multiprocess programs</b:Title>
    <b:JournalName>Computers, IEEE Transactions on</b:JournalName>
    <b:Year>1979</b:Year>
    <b:Pages>690-691</b:Pages>
    <b:Volume>100(9)</b:Volume>
    <b:RefOrder>1</b:RefOrder>
  </b:Source>
  <b:Source>
    <b:Tag>Sus76</b:Tag>
    <b:SourceType>JournalArticle</b:SourceType>
    <b:Guid>{557844A8-D190-442F-8C5E-F865C910F43D}</b:Guid>
    <b:Author>
      <b:Author>
        <b:NameList>
          <b:Person>
            <b:Last>Gries</b:Last>
            <b:First>Susan</b:First>
            <b:Middle>Owicki and David</b:Middle>
          </b:Person>
        </b:NameList>
      </b:Author>
    </b:Author>
    <b:Title>An axiomatic proof technique for parallel programs</b:Title>
    <b:JournalName>Acta Informatica</b:JournalName>
    <b:Year>1976</b:Year>
    <b:Pages>319-340</b:Pages>
    <b:Volume>6(4)</b:Volume>
    <b:RefOrder>2</b:RefOrder>
  </b:Source>
  <b:Source>
    <b:Tag>Ric75</b:Tag>
    <b:SourceType>JournalArticle</b:SourceType>
    <b:Guid>{D42EF3F2-8257-45BC-A988-96AFB2FD6061}</b:Guid>
    <b:Author>
      <b:Author>
        <b:NameList>
          <b:Person>
            <b:Last>Lipton</b:Last>
            <b:First>Richard</b:First>
            <b:Middle>J.</b:Middle>
          </b:Person>
        </b:NameList>
      </b:Author>
    </b:Author>
    <b:Title>Reduction: A method of proving properties of parallel programs</b:Title>
    <b:JournalName>Communications of the ACM</b:JournalName>
    <b:Year>1975</b:Year>
    <b:Pages>717-721</b:Pages>
    <b:Volume>18(12)</b:Volume>
    <b:RefOrder>3</b:RefOrder>
  </b:Source>
  <b:Source>
    <b:Tag>Dav05</b:Tag>
    <b:SourceType>JournalArticle</b:SourceType>
    <b:Guid>{B080B12E-B06D-4F13-A202-EAC52513B1C0}</b:Guid>
    <b:Title>Dynamic circular work-stealing deque</b:Title>
    <b:JournalName>In Proceedings of the seventeenth annual ACM Symposium on  Parallelism in algorithms and architectures</b:JournalName>
    <b:Year>2005</b:Year>
    <b:Pages>21-28</b:Pages>
    <b:Author>
      <b:Author>
        <b:NameList>
          <b:Person>
            <b:Last>Lev</b:Last>
            <b:First>David</b:First>
            <b:Middle>Chase and Yossi</b:Middle>
          </b:Person>
        </b:NameList>
      </b:Author>
    </b:Author>
    <b:RefOrder>4</b:RefOrder>
  </b:Source>
  <b:Source>
    <b:Tag>Mik05</b:Tag>
    <b:SourceType>JournalArticle</b:SourceType>
    <b:Guid>{893C406B-191A-49E7-BF7B-E5004D68F877}</b:Guid>
    <b:Author>
      <b:Author>
        <b:NameList>
          <b:Person>
            <b:Last>Mike Barnett</b:Last>
            <b:First>et</b:First>
            <b:Middle>al.</b:Middle>
          </b:Person>
        </b:NameList>
      </b:Author>
    </b:Author>
    <b:Title>A modular reusable verifier for object-oriented programs</b:Title>
    <b:JournalName>International Symposium on Formal Methods for Components and Objects</b:JournalName>
    <b:Year>2005</b:Year>
    <b:Pages>364-387</b:Pages>
    <b:ConferenceName>Internt</b:ConferenceName>
    <b:RefOrder>5</b:RefOrder>
  </b:Source>
  <b:Source xmlns:b="http://schemas.openxmlformats.org/officeDocument/2006/bibliography" xmlns="http://schemas.openxmlformats.org/officeDocument/2006/bibliography">
    <b:Tag>civl</b:Tag>
    <b:RefOrder>10</b:RefOrder>
  </b:Source>
</b:Sources>
</file>

<file path=customXml/itemProps1.xml><?xml version="1.0" encoding="utf-8"?>
<ds:datastoreItem xmlns:ds="http://schemas.openxmlformats.org/officeDocument/2006/customXml" ds:itemID="{4FB4EAEB-EF18-4471-A5D9-78960E3C4FC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F2FE713-11CD-49A8-B6D5-5FBE86AA81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4393BDB-9A30-4F05-AAA8-E5913EF9802B}">
  <ds:schemaRefs>
    <ds:schemaRef ds:uri="http://schemas.microsoft.com/sharepoint/v3/contenttype/forms"/>
  </ds:schemaRefs>
</ds:datastoreItem>
</file>

<file path=customXml/itemProps4.xml><?xml version="1.0" encoding="utf-8"?>
<ds:datastoreItem xmlns:ds="http://schemas.openxmlformats.org/officeDocument/2006/customXml" ds:itemID="{110DEBAE-4C17-C84C-8D81-D05CCE2A4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\Users\msturzel\Documents\EADS\Documents\ITEA\templates\ITEA 3 Word template.dotx</Template>
  <TotalTime>359</TotalTime>
  <Pages>30</Pages>
  <Words>12376</Words>
  <Characters>70545</Characters>
  <Application>Microsoft Macintosh Word</Application>
  <DocSecurity>0</DocSecurity>
  <Lines>587</Lines>
  <Paragraphs>165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Microsoft</Company>
  <LinksUpToDate>false</LinksUpToDate>
  <CharactersWithSpaces>82756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Moharram Challenger</dc:creator>
  <cp:keywords/>
  <dc:description/>
  <cp:lastModifiedBy>INRIA Rocquencourt</cp:lastModifiedBy>
  <cp:revision>37</cp:revision>
  <cp:lastPrinted>2017-09-18T15:01:00Z</cp:lastPrinted>
  <dcterms:created xsi:type="dcterms:W3CDTF">2018-09-04T05:20:00Z</dcterms:created>
  <dcterms:modified xsi:type="dcterms:W3CDTF">2018-09-10T17:51:00Z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0x0101009EF311B84F0A424580F33CF536728EAA</vt:lpwstr>
  </property>
</Properties>
</file>